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7F5DB7" w14:textId="78CF62AA" w:rsidR="004178D6" w:rsidRPr="006331EC" w:rsidRDefault="009F2AF2" w:rsidP="00871538">
      <w:pPr>
        <w:suppressAutoHyphens/>
        <w:ind w:left="1440" w:hanging="1440"/>
        <w:rPr>
          <w:b/>
        </w:rPr>
      </w:pPr>
      <w:r w:rsidRPr="006331EC">
        <w:rPr>
          <w:b/>
        </w:rPr>
        <w:t xml:space="preserve">RULE </w:t>
      </w:r>
      <w:r w:rsidR="009413CC" w:rsidRPr="006331EC">
        <w:rPr>
          <w:b/>
        </w:rPr>
        <w:t>809</w:t>
      </w:r>
      <w:r w:rsidR="00C60AEB" w:rsidRPr="006331EC">
        <w:rPr>
          <w:b/>
        </w:rPr>
        <w:t>.</w:t>
      </w:r>
      <w:r w:rsidR="00AA6A5E" w:rsidRPr="006331EC">
        <w:rPr>
          <w:b/>
        </w:rPr>
        <w:tab/>
      </w:r>
      <w:r w:rsidR="009413CC" w:rsidRPr="006331EC">
        <w:rPr>
          <w:b/>
        </w:rPr>
        <w:t>F</w:t>
      </w:r>
      <w:r w:rsidR="004178D6" w:rsidRPr="006331EC">
        <w:rPr>
          <w:b/>
        </w:rPr>
        <w:t>EDERAL MINOR SOURCE NEW SOURCE REVIEW</w:t>
      </w:r>
    </w:p>
    <w:p w14:paraId="49801CD7" w14:textId="63C7DA5C" w:rsidR="00AA6A5E" w:rsidRPr="006331EC" w:rsidRDefault="00AA6A5E" w:rsidP="001E445C">
      <w:pPr>
        <w:suppressAutoHyphens/>
        <w:ind w:left="1440"/>
      </w:pPr>
      <w:r w:rsidRPr="006331EC">
        <w:t>(Adopted</w:t>
      </w:r>
      <w:r w:rsidR="002C5955">
        <w:t xml:space="preserve"> 8/25/2016</w:t>
      </w:r>
      <w:r w:rsidRPr="006331EC">
        <w:t>)</w:t>
      </w:r>
    </w:p>
    <w:p w14:paraId="52DF4357" w14:textId="77777777" w:rsidR="00AA6A5E" w:rsidRPr="006331EC" w:rsidRDefault="00AA6A5E" w:rsidP="00871538">
      <w:pPr>
        <w:suppressAutoHyphens/>
      </w:pPr>
    </w:p>
    <w:p w14:paraId="5A273546" w14:textId="77777777" w:rsidR="00AA6A5E" w:rsidRPr="006331EC" w:rsidRDefault="00AA6A5E" w:rsidP="00871538">
      <w:pPr>
        <w:suppressAutoHyphens/>
      </w:pPr>
    </w:p>
    <w:p w14:paraId="30DB0FED" w14:textId="44DA0ABA" w:rsidR="0068735D" w:rsidRPr="006331EC" w:rsidRDefault="001207F7" w:rsidP="00871538">
      <w:pPr>
        <w:suppressAutoHyphens/>
        <w:ind w:left="720" w:hanging="720"/>
        <w:rPr>
          <w:rFonts w:eastAsia="Calibri"/>
        </w:rPr>
      </w:pPr>
      <w:r w:rsidRPr="006331EC">
        <w:rPr>
          <w:b/>
        </w:rPr>
        <w:t xml:space="preserve">A. </w:t>
      </w:r>
      <w:r w:rsidRPr="006331EC">
        <w:rPr>
          <w:b/>
        </w:rPr>
        <w:tab/>
      </w:r>
      <w:r w:rsidR="00AA6A5E" w:rsidRPr="006331EC">
        <w:rPr>
          <w:b/>
        </w:rPr>
        <w:t>Applicability</w:t>
      </w:r>
      <w:r w:rsidR="009F51D6" w:rsidRPr="006331EC">
        <w:rPr>
          <w:b/>
        </w:rPr>
        <w:t xml:space="preserve"> </w:t>
      </w:r>
      <w:r w:rsidR="00AA6A5E" w:rsidRPr="006331EC">
        <w:rPr>
          <w:b/>
        </w:rPr>
        <w:br/>
      </w:r>
      <w:r w:rsidR="00A54F3A" w:rsidRPr="006331EC">
        <w:br/>
      </w:r>
      <w:r w:rsidR="00DF7D3A" w:rsidRPr="006331EC">
        <w:rPr>
          <w:rFonts w:eastAsia="Calibri"/>
        </w:rPr>
        <w:t>This rule applies to</w:t>
      </w:r>
      <w:r w:rsidR="00A54F3A" w:rsidRPr="006331EC">
        <w:rPr>
          <w:rFonts w:eastAsia="Calibri"/>
        </w:rPr>
        <w:t xml:space="preserve"> </w:t>
      </w:r>
      <w:r w:rsidR="00894D65" w:rsidRPr="006331EC">
        <w:rPr>
          <w:rFonts w:eastAsia="Calibri"/>
        </w:rPr>
        <w:t xml:space="preserve">any </w:t>
      </w:r>
      <w:r w:rsidR="00A54F3A" w:rsidRPr="006331EC">
        <w:rPr>
          <w:rFonts w:eastAsia="Calibri"/>
        </w:rPr>
        <w:t>new</w:t>
      </w:r>
      <w:r w:rsidR="00894D65" w:rsidRPr="006331EC">
        <w:rPr>
          <w:rFonts w:eastAsia="Calibri"/>
        </w:rPr>
        <w:t xml:space="preserve"> </w:t>
      </w:r>
      <w:r w:rsidR="00030E5F">
        <w:rPr>
          <w:rFonts w:eastAsia="Calibri"/>
        </w:rPr>
        <w:t>or</w:t>
      </w:r>
      <w:r w:rsidR="00894D65" w:rsidRPr="006331EC">
        <w:rPr>
          <w:rFonts w:eastAsia="Calibri"/>
        </w:rPr>
        <w:t xml:space="preserve"> modified stationary source</w:t>
      </w:r>
      <w:r w:rsidR="00A54F3A" w:rsidRPr="006331EC">
        <w:rPr>
          <w:rFonts w:eastAsia="Calibri"/>
        </w:rPr>
        <w:t xml:space="preserve"> </w:t>
      </w:r>
      <w:r w:rsidR="00DF7D3A" w:rsidRPr="006331EC">
        <w:rPr>
          <w:rFonts w:eastAsia="Calibri"/>
        </w:rPr>
        <w:t>that emits an</w:t>
      </w:r>
      <w:r w:rsidR="00A54F3A" w:rsidRPr="006331EC">
        <w:rPr>
          <w:rFonts w:eastAsia="Calibri"/>
        </w:rPr>
        <w:t xml:space="preserve"> </w:t>
      </w:r>
      <w:r w:rsidR="00DF7D3A" w:rsidRPr="006331EC">
        <w:rPr>
          <w:rFonts w:eastAsia="Calibri"/>
        </w:rPr>
        <w:t>air</w:t>
      </w:r>
      <w:r w:rsidR="00251E02" w:rsidRPr="006331EC">
        <w:rPr>
          <w:spacing w:val="-2"/>
        </w:rPr>
        <w:t xml:space="preserve"> pollutant </w:t>
      </w:r>
      <w:r w:rsidR="00DF7D3A" w:rsidRPr="006331EC">
        <w:rPr>
          <w:spacing w:val="-2"/>
        </w:rPr>
        <w:t xml:space="preserve">(or </w:t>
      </w:r>
      <w:r w:rsidR="00EE0623" w:rsidRPr="006331EC">
        <w:rPr>
          <w:spacing w:val="-2"/>
        </w:rPr>
        <w:t>its</w:t>
      </w:r>
      <w:r w:rsidR="00DF7D3A" w:rsidRPr="006331EC">
        <w:rPr>
          <w:spacing w:val="-2"/>
        </w:rPr>
        <w:t xml:space="preserve"> precursors) </w:t>
      </w:r>
      <w:r w:rsidR="00251E02" w:rsidRPr="006331EC">
        <w:rPr>
          <w:spacing w:val="-2"/>
        </w:rPr>
        <w:t xml:space="preserve">subject to any </w:t>
      </w:r>
      <w:r w:rsidR="00F808D5" w:rsidRPr="006331EC">
        <w:rPr>
          <w:spacing w:val="-2"/>
        </w:rPr>
        <w:t xml:space="preserve">national </w:t>
      </w:r>
      <w:r w:rsidR="00251E02" w:rsidRPr="006331EC">
        <w:rPr>
          <w:spacing w:val="-2"/>
        </w:rPr>
        <w:t>ambient air quality standard</w:t>
      </w:r>
      <w:r w:rsidR="00030E5F">
        <w:rPr>
          <w:spacing w:val="-2"/>
        </w:rPr>
        <w:t>, and the source</w:t>
      </w:r>
      <w:r w:rsidR="00251E02" w:rsidRPr="006331EC">
        <w:rPr>
          <w:spacing w:val="-2"/>
        </w:rPr>
        <w:t xml:space="preserve"> </w:t>
      </w:r>
      <w:r w:rsidR="00894D65" w:rsidRPr="006331EC">
        <w:rPr>
          <w:rFonts w:eastAsia="Calibri"/>
        </w:rPr>
        <w:t xml:space="preserve">is </w:t>
      </w:r>
      <w:r w:rsidR="0068735D" w:rsidRPr="006331EC">
        <w:rPr>
          <w:rFonts w:eastAsia="Calibri"/>
        </w:rPr>
        <w:t>not</w:t>
      </w:r>
      <w:r w:rsidR="00DF7D3A" w:rsidRPr="006331EC">
        <w:rPr>
          <w:rFonts w:eastAsia="Calibri"/>
        </w:rPr>
        <w:t xml:space="preserve"> a</w:t>
      </w:r>
      <w:r w:rsidR="00894D65" w:rsidRPr="006331EC">
        <w:rPr>
          <w:rFonts w:eastAsia="Calibri"/>
        </w:rPr>
        <w:t xml:space="preserve"> </w:t>
      </w:r>
      <w:r w:rsidR="00DF7D3A" w:rsidRPr="006331EC">
        <w:rPr>
          <w:rFonts w:eastAsia="Calibri"/>
        </w:rPr>
        <w:t xml:space="preserve">new </w:t>
      </w:r>
      <w:r w:rsidR="00894D65" w:rsidRPr="006331EC">
        <w:rPr>
          <w:rFonts w:eastAsia="Calibri"/>
        </w:rPr>
        <w:t>m</w:t>
      </w:r>
      <w:r w:rsidR="0068735D" w:rsidRPr="006331EC">
        <w:rPr>
          <w:rFonts w:eastAsia="Calibri"/>
        </w:rPr>
        <w:t xml:space="preserve">ajor </w:t>
      </w:r>
      <w:r w:rsidR="00251E02" w:rsidRPr="006331EC">
        <w:rPr>
          <w:rFonts w:eastAsia="Calibri"/>
        </w:rPr>
        <w:t xml:space="preserve">stationary </w:t>
      </w:r>
      <w:r w:rsidR="00894D65" w:rsidRPr="006331EC">
        <w:rPr>
          <w:rFonts w:eastAsia="Calibri"/>
        </w:rPr>
        <w:t>source</w:t>
      </w:r>
      <w:r w:rsidR="0068735D" w:rsidRPr="006331EC">
        <w:rPr>
          <w:rFonts w:eastAsia="Calibri"/>
        </w:rPr>
        <w:t xml:space="preserve"> or</w:t>
      </w:r>
      <w:r w:rsidR="00DF7D3A" w:rsidRPr="006331EC">
        <w:rPr>
          <w:rFonts w:eastAsia="Calibri"/>
        </w:rPr>
        <w:t xml:space="preserve"> a</w:t>
      </w:r>
      <w:r w:rsidR="00894D65" w:rsidRPr="006331EC">
        <w:rPr>
          <w:rFonts w:eastAsia="Calibri"/>
        </w:rPr>
        <w:t xml:space="preserve"> major </w:t>
      </w:r>
      <w:r w:rsidR="00D77FBA">
        <w:rPr>
          <w:rFonts w:eastAsia="Calibri"/>
        </w:rPr>
        <w:t>modified</w:t>
      </w:r>
      <w:r w:rsidR="00F8519A" w:rsidRPr="006331EC">
        <w:rPr>
          <w:rFonts w:eastAsia="Calibri"/>
        </w:rPr>
        <w:t xml:space="preserve"> </w:t>
      </w:r>
      <w:r w:rsidR="00894D65" w:rsidRPr="006331EC">
        <w:rPr>
          <w:rFonts w:eastAsia="Calibri"/>
        </w:rPr>
        <w:t>stationary source</w:t>
      </w:r>
      <w:r w:rsidR="0068735D" w:rsidRPr="006331EC">
        <w:rPr>
          <w:rFonts w:eastAsia="Calibri"/>
        </w:rPr>
        <w:t>.</w:t>
      </w:r>
    </w:p>
    <w:p w14:paraId="720E6982" w14:textId="77777777" w:rsidR="00BF1E1D" w:rsidRPr="006331EC" w:rsidRDefault="00BF1E1D" w:rsidP="00871538">
      <w:pPr>
        <w:suppressAutoHyphens/>
        <w:ind w:left="720" w:hanging="720"/>
      </w:pPr>
    </w:p>
    <w:p w14:paraId="61C692CB" w14:textId="77777777" w:rsidR="00AA6A5E" w:rsidRPr="006331EC" w:rsidRDefault="001207F7" w:rsidP="00871538">
      <w:pPr>
        <w:suppressAutoHyphens/>
        <w:ind w:left="720" w:hanging="720"/>
      </w:pPr>
      <w:r w:rsidRPr="006331EC">
        <w:rPr>
          <w:b/>
        </w:rPr>
        <w:t xml:space="preserve">B. </w:t>
      </w:r>
      <w:r w:rsidRPr="006331EC">
        <w:rPr>
          <w:b/>
        </w:rPr>
        <w:tab/>
      </w:r>
      <w:r w:rsidR="00AA6A5E" w:rsidRPr="006331EC">
        <w:rPr>
          <w:b/>
        </w:rPr>
        <w:t>Exemptions</w:t>
      </w:r>
    </w:p>
    <w:p w14:paraId="19FA6AF0" w14:textId="77777777" w:rsidR="00AA6A5E" w:rsidRPr="006331EC" w:rsidRDefault="00AA6A5E" w:rsidP="00871538">
      <w:pPr>
        <w:suppressAutoHyphens/>
      </w:pPr>
    </w:p>
    <w:p w14:paraId="36E52FF6" w14:textId="36A09953" w:rsidR="00AA6A5E" w:rsidRPr="006331EC" w:rsidRDefault="002B34CD" w:rsidP="00871538">
      <w:pPr>
        <w:numPr>
          <w:ilvl w:val="12"/>
          <w:numId w:val="0"/>
        </w:numPr>
        <w:suppressAutoHyphens/>
        <w:ind w:left="720"/>
      </w:pPr>
      <w:r w:rsidRPr="006331EC">
        <w:t>Equipment that qualif</w:t>
      </w:r>
      <w:r w:rsidR="00074207" w:rsidRPr="006331EC">
        <w:t>ies</w:t>
      </w:r>
      <w:r w:rsidRPr="006331EC">
        <w:t xml:space="preserve"> as exempt under </w:t>
      </w:r>
      <w:r w:rsidR="001F5927" w:rsidRPr="006331EC">
        <w:t>Rule 202, Exemptions to Rule 201</w:t>
      </w:r>
      <w:r w:rsidRPr="006331EC">
        <w:t xml:space="preserve">, </w:t>
      </w:r>
      <w:r w:rsidR="00074207" w:rsidRPr="006331EC">
        <w:t>is</w:t>
      </w:r>
      <w:r w:rsidRPr="006331EC">
        <w:t xml:space="preserve"> exempt from this </w:t>
      </w:r>
      <w:r w:rsidR="0098316D" w:rsidRPr="006331EC">
        <w:t>r</w:t>
      </w:r>
      <w:r w:rsidRPr="006331EC">
        <w:t>ule</w:t>
      </w:r>
      <w:r w:rsidR="001F5927" w:rsidRPr="006331EC">
        <w:t>.</w:t>
      </w:r>
      <w:r w:rsidR="00642E15" w:rsidRPr="006331EC">
        <w:rPr>
          <w:rFonts w:eastAsia="Calibri"/>
        </w:rPr>
        <w:t xml:space="preserve"> </w:t>
      </w:r>
    </w:p>
    <w:p w14:paraId="116DC1BE" w14:textId="77777777" w:rsidR="00AA6A5E" w:rsidRPr="006331EC" w:rsidRDefault="00AA6A5E" w:rsidP="00871538">
      <w:pPr>
        <w:suppressAutoHyphens/>
      </w:pPr>
    </w:p>
    <w:p w14:paraId="3AAE538A" w14:textId="77777777" w:rsidR="00AA6A5E" w:rsidRPr="006331EC" w:rsidRDefault="00AA6A5E" w:rsidP="00871538">
      <w:pPr>
        <w:suppressAutoHyphens/>
      </w:pPr>
      <w:r w:rsidRPr="006331EC">
        <w:rPr>
          <w:b/>
        </w:rPr>
        <w:t>C.</w:t>
      </w:r>
      <w:r w:rsidRPr="006331EC">
        <w:rPr>
          <w:b/>
        </w:rPr>
        <w:tab/>
        <w:t>Definitions</w:t>
      </w:r>
    </w:p>
    <w:p w14:paraId="4CC7B3D7" w14:textId="77777777" w:rsidR="00AA6A5E" w:rsidRPr="006331EC" w:rsidRDefault="00AA6A5E" w:rsidP="00871538">
      <w:pPr>
        <w:suppressAutoHyphens/>
      </w:pPr>
    </w:p>
    <w:p w14:paraId="244B2FBA" w14:textId="419EE958" w:rsidR="00AA6A5E" w:rsidRPr="006331EC" w:rsidRDefault="00C77952" w:rsidP="003A602A">
      <w:pPr>
        <w:suppressAutoHyphens/>
        <w:ind w:left="720"/>
        <w:rPr>
          <w:rFonts w:eastAsia="Calibri"/>
        </w:rPr>
      </w:pPr>
      <w:r>
        <w:rPr>
          <w:rFonts w:eastAsia="Calibri"/>
        </w:rPr>
        <w:t>See</w:t>
      </w:r>
      <w:r w:rsidR="00657324" w:rsidRPr="006331EC">
        <w:rPr>
          <w:rFonts w:eastAsia="Calibri"/>
        </w:rPr>
        <w:t xml:space="preserve"> </w:t>
      </w:r>
      <w:r w:rsidR="00DC7995" w:rsidRPr="006331EC">
        <w:rPr>
          <w:rFonts w:eastAsia="Calibri"/>
        </w:rPr>
        <w:t>Rule</w:t>
      </w:r>
      <w:r w:rsidR="001F5927" w:rsidRPr="006331EC">
        <w:rPr>
          <w:rFonts w:eastAsia="Calibri"/>
        </w:rPr>
        <w:t xml:space="preserve"> 102, Definitions,</w:t>
      </w:r>
      <w:r w:rsidR="00657324" w:rsidRPr="006331EC">
        <w:rPr>
          <w:rFonts w:eastAsia="Calibri"/>
        </w:rPr>
        <w:t xml:space="preserve"> </w:t>
      </w:r>
      <w:r>
        <w:rPr>
          <w:rFonts w:eastAsia="Calibri"/>
        </w:rPr>
        <w:t xml:space="preserve">for definitions not limited to this rule. For the purposes of this rule, </w:t>
      </w:r>
      <w:r w:rsidR="00657324" w:rsidRPr="006331EC">
        <w:rPr>
          <w:rFonts w:eastAsia="Calibri"/>
        </w:rPr>
        <w:t>the follow</w:t>
      </w:r>
      <w:r w:rsidR="0063778D" w:rsidRPr="006331EC">
        <w:rPr>
          <w:rFonts w:eastAsia="Calibri"/>
        </w:rPr>
        <w:t>ing</w:t>
      </w:r>
      <w:r w:rsidR="00657324" w:rsidRPr="006331EC">
        <w:rPr>
          <w:rFonts w:eastAsia="Calibri"/>
        </w:rPr>
        <w:t xml:space="preserve"> definition</w:t>
      </w:r>
      <w:r w:rsidR="006304CF" w:rsidRPr="006331EC">
        <w:rPr>
          <w:rFonts w:eastAsia="Calibri"/>
        </w:rPr>
        <w:t>s</w:t>
      </w:r>
      <w:r w:rsidR="00657324" w:rsidRPr="006331EC">
        <w:rPr>
          <w:rFonts w:eastAsia="Calibri"/>
        </w:rPr>
        <w:t xml:space="preserve"> </w:t>
      </w:r>
      <w:r>
        <w:rPr>
          <w:rFonts w:eastAsia="Calibri"/>
        </w:rPr>
        <w:t xml:space="preserve">shall </w:t>
      </w:r>
      <w:r w:rsidR="00657324" w:rsidRPr="006331EC">
        <w:rPr>
          <w:rFonts w:eastAsia="Calibri"/>
        </w:rPr>
        <w:t>appl</w:t>
      </w:r>
      <w:r w:rsidR="0063778D" w:rsidRPr="006331EC">
        <w:rPr>
          <w:rFonts w:eastAsia="Calibri"/>
        </w:rPr>
        <w:t>y</w:t>
      </w:r>
      <w:r w:rsidR="00657324" w:rsidRPr="006331EC">
        <w:rPr>
          <w:rFonts w:eastAsia="Calibri"/>
        </w:rPr>
        <w:t>:</w:t>
      </w:r>
      <w:r w:rsidR="00C8353D" w:rsidRPr="006331EC">
        <w:rPr>
          <w:rFonts w:eastAsia="Calibri"/>
        </w:rPr>
        <w:t xml:space="preserve">  </w:t>
      </w:r>
    </w:p>
    <w:p w14:paraId="724D9DC6" w14:textId="77777777" w:rsidR="006304CF" w:rsidRPr="006331EC" w:rsidRDefault="006304CF" w:rsidP="003A602A">
      <w:pPr>
        <w:tabs>
          <w:tab w:val="left" w:pos="-720"/>
          <w:tab w:val="left" w:pos="0"/>
        </w:tabs>
        <w:suppressAutoHyphens/>
        <w:ind w:left="720" w:hanging="90"/>
      </w:pPr>
    </w:p>
    <w:p w14:paraId="6D445A6B" w14:textId="53D0CFA4" w:rsidR="006304CF" w:rsidRPr="006331EC" w:rsidRDefault="006304CF" w:rsidP="003A602A">
      <w:pPr>
        <w:tabs>
          <w:tab w:val="left" w:pos="-720"/>
          <w:tab w:val="left" w:pos="0"/>
        </w:tabs>
        <w:suppressAutoHyphens/>
        <w:ind w:left="720" w:hanging="86"/>
      </w:pPr>
      <w:r w:rsidRPr="001E445C">
        <w:rPr>
          <w:b/>
        </w:rPr>
        <w:t>“National Ambient Air Quality Standard”</w:t>
      </w:r>
      <w:r w:rsidRPr="00030E5F">
        <w:t xml:space="preserve"> means any federal</w:t>
      </w:r>
      <w:r w:rsidRPr="006331EC">
        <w:t xml:space="preserve"> ambient air quality standard promulgated by the Environmental Protection Agency. </w:t>
      </w:r>
    </w:p>
    <w:p w14:paraId="2368C326" w14:textId="77777777" w:rsidR="0002172F" w:rsidRPr="006331EC" w:rsidRDefault="0002172F" w:rsidP="003A602A">
      <w:pPr>
        <w:ind w:left="720" w:hanging="86"/>
      </w:pPr>
    </w:p>
    <w:p w14:paraId="6ACB7EEB" w14:textId="5E8CF684" w:rsidR="00050DD5" w:rsidRPr="006331EC" w:rsidRDefault="0002172F" w:rsidP="00050DD5">
      <w:pPr>
        <w:ind w:left="720" w:hanging="86"/>
      </w:pPr>
      <w:r w:rsidRPr="00030E5F">
        <w:rPr>
          <w:b/>
        </w:rPr>
        <w:t>“</w:t>
      </w:r>
      <w:r w:rsidRPr="001E445C">
        <w:rPr>
          <w:b/>
        </w:rPr>
        <w:t>Project</w:t>
      </w:r>
      <w:r w:rsidRPr="00030E5F">
        <w:rPr>
          <w:b/>
        </w:rPr>
        <w:t>”</w:t>
      </w:r>
      <w:r w:rsidRPr="006331EC">
        <w:t xml:space="preserve"> means any article, machine, equipment or contrivance belonging to the same emission unit at a stationary source and applied for in one or more applications for an Authority to Construct permit. Project shall not include any article, machine, equipment or contrivance described in any application for an Authority to Construct permit submitted more than 12 months after issuance of the Permit to Operate.</w:t>
      </w:r>
      <w:r w:rsidR="00050DD5">
        <w:t xml:space="preserve"> Notwithstanding the above, Project shall include any application </w:t>
      </w:r>
      <w:r w:rsidR="00050DD5" w:rsidRPr="005324E6">
        <w:t xml:space="preserve">to increase permitted emissions due </w:t>
      </w:r>
      <w:r w:rsidR="00050DD5">
        <w:t xml:space="preserve">primarily </w:t>
      </w:r>
      <w:r w:rsidR="00050DD5" w:rsidRPr="005324E6">
        <w:t xml:space="preserve">to an increase in throughput or usage not associated with </w:t>
      </w:r>
      <w:r w:rsidR="00050DD5">
        <w:t xml:space="preserve">any new or modified </w:t>
      </w:r>
      <w:r w:rsidR="00050DD5" w:rsidRPr="005324E6">
        <w:t>article, machine, equipment or contrivance</w:t>
      </w:r>
      <w:r w:rsidR="00050DD5">
        <w:t xml:space="preserve">, regardless of the </w:t>
      </w:r>
      <w:r w:rsidR="00050DD5" w:rsidRPr="00ED7F86">
        <w:t>time between permit applications</w:t>
      </w:r>
      <w:r w:rsidR="00050DD5">
        <w:t>.</w:t>
      </w:r>
    </w:p>
    <w:p w14:paraId="4CFB0D43" w14:textId="77777777" w:rsidR="006304CF" w:rsidRPr="006331EC" w:rsidRDefault="006304CF" w:rsidP="000D6644">
      <w:pPr>
        <w:tabs>
          <w:tab w:val="left" w:pos="-720"/>
          <w:tab w:val="left" w:pos="0"/>
        </w:tabs>
        <w:suppressAutoHyphens/>
        <w:ind w:left="720" w:hanging="90"/>
      </w:pPr>
    </w:p>
    <w:p w14:paraId="10618BA5" w14:textId="6EFFF0D2" w:rsidR="00DC7995" w:rsidRPr="006331EC" w:rsidRDefault="00DC7995" w:rsidP="00871538">
      <w:pPr>
        <w:keepNext/>
        <w:keepLines/>
        <w:tabs>
          <w:tab w:val="left" w:pos="-720"/>
        </w:tabs>
        <w:ind w:left="720" w:hanging="720"/>
        <w:rPr>
          <w:b/>
          <w:spacing w:val="-2"/>
        </w:rPr>
      </w:pPr>
      <w:r w:rsidRPr="006331EC">
        <w:rPr>
          <w:b/>
        </w:rPr>
        <w:t>D.</w:t>
      </w:r>
      <w:r w:rsidRPr="006331EC">
        <w:rPr>
          <w:b/>
        </w:rPr>
        <w:tab/>
      </w:r>
      <w:r w:rsidRPr="006331EC">
        <w:rPr>
          <w:b/>
          <w:spacing w:val="-2"/>
        </w:rPr>
        <w:t>Requirement</w:t>
      </w:r>
      <w:r w:rsidR="004178D6" w:rsidRPr="006331EC">
        <w:rPr>
          <w:b/>
          <w:spacing w:val="-2"/>
        </w:rPr>
        <w:t>s</w:t>
      </w:r>
      <w:r w:rsidR="004C1FC9">
        <w:rPr>
          <w:b/>
          <w:spacing w:val="-2"/>
        </w:rPr>
        <w:t xml:space="preserve"> </w:t>
      </w:r>
      <w:r w:rsidR="004C1FC9">
        <w:rPr>
          <w:b/>
        </w:rPr>
        <w:t>–</w:t>
      </w:r>
      <w:r w:rsidRPr="006331EC">
        <w:rPr>
          <w:b/>
          <w:spacing w:val="-2"/>
        </w:rPr>
        <w:t xml:space="preserve"> Authority to Construct</w:t>
      </w:r>
      <w:r w:rsidR="006B0D0E" w:rsidRPr="006331EC">
        <w:rPr>
          <w:b/>
          <w:spacing w:val="-2"/>
        </w:rPr>
        <w:t xml:space="preserve"> and Permit to Operate</w:t>
      </w:r>
    </w:p>
    <w:p w14:paraId="0937060C" w14:textId="77777777" w:rsidR="00DC7995" w:rsidRPr="006331EC" w:rsidRDefault="00DC7995" w:rsidP="00871538">
      <w:pPr>
        <w:keepNext/>
        <w:keepLines/>
        <w:suppressAutoHyphens/>
        <w:rPr>
          <w:spacing w:val="-2"/>
        </w:rPr>
      </w:pPr>
    </w:p>
    <w:p w14:paraId="1EEFAA51" w14:textId="29A9A191" w:rsidR="00DC7995" w:rsidRPr="006331EC" w:rsidRDefault="00DC7995" w:rsidP="00505404">
      <w:pPr>
        <w:suppressAutoHyphens/>
        <w:ind w:left="720" w:hanging="720"/>
        <w:rPr>
          <w:spacing w:val="-2"/>
        </w:rPr>
      </w:pPr>
      <w:r w:rsidRPr="006331EC">
        <w:rPr>
          <w:spacing w:val="-2"/>
        </w:rPr>
        <w:tab/>
        <w:t xml:space="preserve">Any person building, erecting, altering, replacing, or using any article, machine, equipment or other contrivance, the use of which may cause the issuance of any </w:t>
      </w:r>
      <w:r w:rsidR="0002172F" w:rsidRPr="006331EC">
        <w:rPr>
          <w:spacing w:val="-2"/>
        </w:rPr>
        <w:t xml:space="preserve">air </w:t>
      </w:r>
      <w:r w:rsidRPr="006331EC">
        <w:rPr>
          <w:spacing w:val="-2"/>
        </w:rPr>
        <w:t xml:space="preserve">pollutant </w:t>
      </w:r>
      <w:r w:rsidR="00727315" w:rsidRPr="006331EC">
        <w:rPr>
          <w:spacing w:val="-2"/>
        </w:rPr>
        <w:t xml:space="preserve">(or </w:t>
      </w:r>
      <w:r w:rsidR="00EE0623" w:rsidRPr="006331EC">
        <w:rPr>
          <w:spacing w:val="-2"/>
        </w:rPr>
        <w:t>its</w:t>
      </w:r>
      <w:r w:rsidR="00727315" w:rsidRPr="006331EC">
        <w:rPr>
          <w:spacing w:val="-2"/>
        </w:rPr>
        <w:t xml:space="preserve"> precursor</w:t>
      </w:r>
      <w:r w:rsidR="00866E36" w:rsidRPr="006331EC">
        <w:rPr>
          <w:spacing w:val="-2"/>
        </w:rPr>
        <w:t>s</w:t>
      </w:r>
      <w:r w:rsidR="00727315" w:rsidRPr="006331EC">
        <w:rPr>
          <w:spacing w:val="-2"/>
        </w:rPr>
        <w:t xml:space="preserve">) </w:t>
      </w:r>
      <w:r w:rsidRPr="006331EC">
        <w:rPr>
          <w:spacing w:val="-2"/>
        </w:rPr>
        <w:t xml:space="preserve">subject to any </w:t>
      </w:r>
      <w:r w:rsidR="00F808D5" w:rsidRPr="006331EC">
        <w:rPr>
          <w:spacing w:val="-2"/>
        </w:rPr>
        <w:t xml:space="preserve">national </w:t>
      </w:r>
      <w:r w:rsidRPr="006331EC">
        <w:rPr>
          <w:spacing w:val="-2"/>
        </w:rPr>
        <w:t>ambient air quality standard or the use of which may eliminate or reduce or control the issuance of such pollutant</w:t>
      </w:r>
      <w:r w:rsidR="00727315" w:rsidRPr="006331EC">
        <w:rPr>
          <w:spacing w:val="-2"/>
        </w:rPr>
        <w:t xml:space="preserve"> (or </w:t>
      </w:r>
      <w:r w:rsidR="00EE0623" w:rsidRPr="006331EC">
        <w:rPr>
          <w:spacing w:val="-2"/>
        </w:rPr>
        <w:t xml:space="preserve">its </w:t>
      </w:r>
      <w:r w:rsidR="00727315" w:rsidRPr="006331EC">
        <w:rPr>
          <w:spacing w:val="-2"/>
        </w:rPr>
        <w:t>precursor</w:t>
      </w:r>
      <w:r w:rsidR="00866E36" w:rsidRPr="006331EC">
        <w:rPr>
          <w:spacing w:val="-2"/>
        </w:rPr>
        <w:t>s</w:t>
      </w:r>
      <w:r w:rsidR="00727315" w:rsidRPr="006331EC">
        <w:rPr>
          <w:spacing w:val="-2"/>
        </w:rPr>
        <w:t>)</w:t>
      </w:r>
      <w:r w:rsidRPr="006331EC">
        <w:rPr>
          <w:spacing w:val="-2"/>
        </w:rPr>
        <w:t xml:space="preserve">, shall first obtain an Authority to Construct for such construction </w:t>
      </w:r>
      <w:r w:rsidR="002A6F6D" w:rsidRPr="006331EC">
        <w:rPr>
          <w:spacing w:val="-2"/>
        </w:rPr>
        <w:t xml:space="preserve">and a Permit to Operate for </w:t>
      </w:r>
      <w:r w:rsidR="00727315" w:rsidRPr="006331EC">
        <w:rPr>
          <w:spacing w:val="-2"/>
        </w:rPr>
        <w:t>the subsequent operation</w:t>
      </w:r>
      <w:r w:rsidRPr="006331EC">
        <w:rPr>
          <w:spacing w:val="-2"/>
        </w:rPr>
        <w:t xml:space="preserve"> from the Control Officer. </w:t>
      </w:r>
      <w:r w:rsidR="00505404" w:rsidRPr="006331EC">
        <w:rPr>
          <w:spacing w:val="-2"/>
        </w:rPr>
        <w:t xml:space="preserve">An Authority to Construct issued to a source shall remain in effect until the Permit to Operate for the </w:t>
      </w:r>
      <w:r w:rsidR="0002172F" w:rsidRPr="006331EC">
        <w:rPr>
          <w:spacing w:val="-2"/>
        </w:rPr>
        <w:t>project</w:t>
      </w:r>
      <w:r w:rsidR="00505404" w:rsidRPr="006331EC">
        <w:rPr>
          <w:spacing w:val="-2"/>
        </w:rPr>
        <w:t xml:space="preserve"> for which the application was filed is granted or denied or the application expires. </w:t>
      </w:r>
      <w:r w:rsidR="00727315" w:rsidRPr="006331EC">
        <w:rPr>
          <w:spacing w:val="-2"/>
        </w:rPr>
        <w:t>I</w:t>
      </w:r>
      <w:r w:rsidR="00A41B95" w:rsidRPr="006331EC">
        <w:rPr>
          <w:spacing w:val="-2"/>
        </w:rPr>
        <w:t xml:space="preserve">nterim operations </w:t>
      </w:r>
      <w:r w:rsidR="00505404" w:rsidRPr="006331EC">
        <w:rPr>
          <w:spacing w:val="-2"/>
        </w:rPr>
        <w:t>may</w:t>
      </w:r>
      <w:r w:rsidR="00A41B95" w:rsidRPr="006331EC">
        <w:rPr>
          <w:spacing w:val="-2"/>
        </w:rPr>
        <w:t xml:space="preserve"> be </w:t>
      </w:r>
      <w:r w:rsidR="0012538B" w:rsidRPr="006331EC">
        <w:rPr>
          <w:spacing w:val="-2"/>
        </w:rPr>
        <w:t>allowed</w:t>
      </w:r>
      <w:r w:rsidR="00A41B95" w:rsidRPr="006331EC">
        <w:rPr>
          <w:spacing w:val="-2"/>
        </w:rPr>
        <w:t xml:space="preserve"> under the provisions of the Authority to Construct permit.</w:t>
      </w:r>
      <w:r w:rsidR="00852C6A">
        <w:rPr>
          <w:spacing w:val="-2"/>
        </w:rPr>
        <w:t xml:space="preserve"> </w:t>
      </w:r>
    </w:p>
    <w:p w14:paraId="6B65A27D" w14:textId="77777777" w:rsidR="00DC7995" w:rsidRPr="006331EC" w:rsidRDefault="00DC7995" w:rsidP="00871538">
      <w:pPr>
        <w:keepNext/>
        <w:keepLines/>
        <w:tabs>
          <w:tab w:val="left" w:pos="-720"/>
        </w:tabs>
        <w:ind w:left="720" w:hanging="720"/>
        <w:rPr>
          <w:b/>
        </w:rPr>
      </w:pPr>
    </w:p>
    <w:p w14:paraId="72C07C20" w14:textId="58429949" w:rsidR="00CF48F6" w:rsidRPr="006331EC" w:rsidRDefault="003F3052" w:rsidP="00CF48F6">
      <w:pPr>
        <w:rPr>
          <w:b/>
        </w:rPr>
      </w:pPr>
      <w:r w:rsidRPr="006331EC">
        <w:rPr>
          <w:b/>
        </w:rPr>
        <w:t>E</w:t>
      </w:r>
      <w:r w:rsidR="004C1FC9">
        <w:rPr>
          <w:b/>
        </w:rPr>
        <w:t>.</w:t>
      </w:r>
      <w:r w:rsidR="004C1FC9">
        <w:rPr>
          <w:b/>
        </w:rPr>
        <w:tab/>
        <w:t>Requirements –</w:t>
      </w:r>
      <w:r w:rsidR="00CF48F6" w:rsidRPr="006331EC">
        <w:rPr>
          <w:b/>
        </w:rPr>
        <w:t xml:space="preserve"> Air Quality Impact Analysis</w:t>
      </w:r>
    </w:p>
    <w:p w14:paraId="5D66DAF9" w14:textId="77777777" w:rsidR="00CF48F6" w:rsidRPr="006331EC" w:rsidRDefault="00CF48F6" w:rsidP="00CF48F6">
      <w:pPr>
        <w:keepNext/>
        <w:suppressAutoHyphens/>
        <w:ind w:left="720"/>
        <w:rPr>
          <w:spacing w:val="-2"/>
        </w:rPr>
      </w:pPr>
    </w:p>
    <w:p w14:paraId="4DEB6C55" w14:textId="77777777" w:rsidR="00CF48F6" w:rsidRPr="006331EC" w:rsidRDefault="00CF48F6" w:rsidP="00CF48F6">
      <w:pPr>
        <w:suppressAutoHyphens/>
        <w:ind w:left="1440" w:hanging="720"/>
        <w:rPr>
          <w:rFonts w:eastAsia="Calibri"/>
        </w:rPr>
      </w:pPr>
      <w:r w:rsidRPr="006331EC">
        <w:rPr>
          <w:rFonts w:eastAsia="Calibri"/>
        </w:rPr>
        <w:t>1.</w:t>
      </w:r>
      <w:r w:rsidRPr="006331EC">
        <w:rPr>
          <w:rFonts w:eastAsia="Calibri"/>
        </w:rPr>
        <w:tab/>
        <w:t xml:space="preserve">Thresholds </w:t>
      </w:r>
      <w:bookmarkStart w:id="0" w:name="_GoBack"/>
      <w:bookmarkEnd w:id="0"/>
    </w:p>
    <w:p w14:paraId="5BA7C59B" w14:textId="77777777" w:rsidR="00CF48F6" w:rsidRPr="006331EC" w:rsidRDefault="00CF48F6" w:rsidP="00CF48F6">
      <w:pPr>
        <w:keepNext/>
        <w:suppressAutoHyphens/>
        <w:ind w:left="720"/>
        <w:rPr>
          <w:spacing w:val="-2"/>
        </w:rPr>
      </w:pPr>
    </w:p>
    <w:p w14:paraId="4E54A526" w14:textId="1A1979E8" w:rsidR="00CF48F6" w:rsidRPr="006331EC" w:rsidRDefault="00CF48F6" w:rsidP="00CF48F6">
      <w:pPr>
        <w:suppressAutoHyphens/>
        <w:ind w:left="1440"/>
        <w:rPr>
          <w:rFonts w:eastAsia="Calibri"/>
        </w:rPr>
      </w:pPr>
      <w:r w:rsidRPr="006331EC">
        <w:t>The</w:t>
      </w:r>
      <w:r w:rsidRPr="006331EC">
        <w:rPr>
          <w:rFonts w:eastAsia="Calibri"/>
        </w:rPr>
        <w:t xml:space="preserve"> applicant for any new or modified stationary source with a potential to emit of any </w:t>
      </w:r>
      <w:r w:rsidR="004A51C6" w:rsidRPr="006331EC">
        <w:rPr>
          <w:rFonts w:eastAsia="Calibri"/>
        </w:rPr>
        <w:t xml:space="preserve">air </w:t>
      </w:r>
      <w:r w:rsidRPr="006331EC">
        <w:rPr>
          <w:rFonts w:eastAsia="Calibri"/>
        </w:rPr>
        <w:t xml:space="preserve">pollutant </w:t>
      </w:r>
      <w:r w:rsidR="00A227DB" w:rsidRPr="006331EC">
        <w:rPr>
          <w:rFonts w:eastAsia="Calibri"/>
        </w:rPr>
        <w:t xml:space="preserve">(or </w:t>
      </w:r>
      <w:r w:rsidR="00EE0623" w:rsidRPr="006331EC">
        <w:rPr>
          <w:rFonts w:eastAsia="Calibri"/>
        </w:rPr>
        <w:t>its</w:t>
      </w:r>
      <w:r w:rsidR="00A227DB" w:rsidRPr="006331EC">
        <w:rPr>
          <w:rFonts w:eastAsia="Calibri"/>
        </w:rPr>
        <w:t xml:space="preserve"> precursors) </w:t>
      </w:r>
      <w:r w:rsidRPr="006331EC">
        <w:rPr>
          <w:rFonts w:eastAsia="Calibri"/>
        </w:rPr>
        <w:t xml:space="preserve">which is equal to or greater than </w:t>
      </w:r>
      <w:r w:rsidR="00A227DB" w:rsidRPr="006331EC">
        <w:rPr>
          <w:rFonts w:eastAsia="Calibri"/>
        </w:rPr>
        <w:t>any</w:t>
      </w:r>
      <w:r w:rsidRPr="006331EC">
        <w:rPr>
          <w:rFonts w:eastAsia="Calibri"/>
        </w:rPr>
        <w:t xml:space="preserve"> threshold shown in Table 1 shall submit an Air Quality Impact Analysis </w:t>
      </w:r>
      <w:r w:rsidR="00DD20E7" w:rsidRPr="006331EC">
        <w:rPr>
          <w:rFonts w:eastAsia="Calibri"/>
        </w:rPr>
        <w:t xml:space="preserve">(AQIA) </w:t>
      </w:r>
      <w:r w:rsidRPr="006331EC">
        <w:rPr>
          <w:rFonts w:eastAsia="Calibri"/>
        </w:rPr>
        <w:t xml:space="preserve">with their application. The Air Quality Impact Analysis shall be conducted pursuant to Subsection </w:t>
      </w:r>
      <w:r w:rsidR="003F3052" w:rsidRPr="006331EC">
        <w:rPr>
          <w:rFonts w:eastAsia="Calibri"/>
        </w:rPr>
        <w:t>E</w:t>
      </w:r>
      <w:r w:rsidRPr="006331EC">
        <w:rPr>
          <w:rFonts w:eastAsia="Calibri"/>
        </w:rPr>
        <w:t xml:space="preserve">.2 and </w:t>
      </w:r>
      <w:r w:rsidR="009C15D9" w:rsidRPr="006331EC">
        <w:rPr>
          <w:rFonts w:eastAsia="Calibri"/>
        </w:rPr>
        <w:t xml:space="preserve">must </w:t>
      </w:r>
      <w:r w:rsidRPr="006331EC">
        <w:rPr>
          <w:rFonts w:eastAsia="Calibri"/>
        </w:rPr>
        <w:t xml:space="preserve">demonstrate to the satisfaction of the Control Officer that the emissions will not cause a violation or interfere with the expeditious attainment or maintenance of any </w:t>
      </w:r>
      <w:r w:rsidRPr="006331EC">
        <w:rPr>
          <w:spacing w:val="-2"/>
        </w:rPr>
        <w:t xml:space="preserve">national </w:t>
      </w:r>
      <w:r w:rsidRPr="006331EC">
        <w:rPr>
          <w:rFonts w:eastAsia="Calibri"/>
        </w:rPr>
        <w:t xml:space="preserve">ambient air quality standard or prevent reasonable progress towards the expeditious attainment or maintenance of any national ambient air quality standard. </w:t>
      </w:r>
      <w:r w:rsidR="006D46B4" w:rsidRPr="00B84FC5">
        <w:rPr>
          <w:szCs w:val="22"/>
        </w:rPr>
        <w:t xml:space="preserve">For the purposes of this </w:t>
      </w:r>
      <w:r w:rsidR="006D46B4">
        <w:rPr>
          <w:szCs w:val="22"/>
        </w:rPr>
        <w:t>s</w:t>
      </w:r>
      <w:r w:rsidR="006D46B4" w:rsidRPr="00B84FC5">
        <w:rPr>
          <w:szCs w:val="22"/>
        </w:rPr>
        <w:t xml:space="preserve">ection, "potential to emit" for modified stationary sources means the potential to emit from the project. </w:t>
      </w:r>
      <w:r w:rsidRPr="006331EC">
        <w:rPr>
          <w:rFonts w:eastAsia="Calibri"/>
        </w:rPr>
        <w:t xml:space="preserve">In addition, the Control Officer may require an Air Quality Impact Analysis for any new or modified stationary source that the Control Officer has determined has the potential to cause or contribute to a violation of any national ambient air </w:t>
      </w:r>
      <w:r w:rsidRPr="006331EC">
        <w:rPr>
          <w:rFonts w:eastAsia="Calibri"/>
        </w:rPr>
        <w:lastRenderedPageBreak/>
        <w:t>quality standard. This paragraph shall not require an Air Quality Impact Analysis for the assessment of the effects of ozone precursor emissions on ozone.</w:t>
      </w:r>
    </w:p>
    <w:p w14:paraId="2050747B" w14:textId="77777777" w:rsidR="00CF48F6" w:rsidRPr="006331EC" w:rsidRDefault="00CF48F6" w:rsidP="00CF48F6">
      <w:pPr>
        <w:suppressAutoHyphens/>
        <w:ind w:left="1440"/>
        <w:rPr>
          <w:rFonts w:eastAsia="Calibri"/>
        </w:rPr>
      </w:pPr>
    </w:p>
    <w:p w14:paraId="499145B6" w14:textId="72329FD0" w:rsidR="00CF48F6" w:rsidRPr="001E445C" w:rsidRDefault="00CF48F6" w:rsidP="001E445C">
      <w:pPr>
        <w:suppressAutoHyphens/>
        <w:jc w:val="center"/>
        <w:rPr>
          <w:rFonts w:eastAsia="Calibri"/>
          <w:b/>
        </w:rPr>
      </w:pPr>
      <w:r w:rsidRPr="001E445C">
        <w:rPr>
          <w:rFonts w:eastAsia="Calibri"/>
          <w:b/>
        </w:rPr>
        <w:t xml:space="preserve">Table 1 </w:t>
      </w:r>
      <w:r w:rsidR="00DD20E7" w:rsidRPr="001E445C">
        <w:rPr>
          <w:rFonts w:eastAsia="Calibri"/>
          <w:b/>
        </w:rPr>
        <w:t>–</w:t>
      </w:r>
      <w:r w:rsidRPr="001E445C">
        <w:rPr>
          <w:rFonts w:eastAsia="Calibri"/>
          <w:b/>
        </w:rPr>
        <w:t xml:space="preserve"> </w:t>
      </w:r>
      <w:r w:rsidR="00DD20E7" w:rsidRPr="001E445C">
        <w:rPr>
          <w:rFonts w:eastAsia="Calibri"/>
          <w:b/>
        </w:rPr>
        <w:t>A</w:t>
      </w:r>
      <w:r w:rsidR="00A019C7">
        <w:rPr>
          <w:rFonts w:eastAsia="Calibri"/>
          <w:b/>
        </w:rPr>
        <w:t xml:space="preserve">ir </w:t>
      </w:r>
      <w:r w:rsidR="00DD20E7" w:rsidRPr="001E445C">
        <w:rPr>
          <w:rFonts w:eastAsia="Calibri"/>
          <w:b/>
        </w:rPr>
        <w:t>Q</w:t>
      </w:r>
      <w:r w:rsidR="00A019C7">
        <w:rPr>
          <w:rFonts w:eastAsia="Calibri"/>
          <w:b/>
        </w:rPr>
        <w:t xml:space="preserve">uality </w:t>
      </w:r>
      <w:r w:rsidR="00DD20E7" w:rsidRPr="001E445C">
        <w:rPr>
          <w:rFonts w:eastAsia="Calibri"/>
          <w:b/>
        </w:rPr>
        <w:t>I</w:t>
      </w:r>
      <w:r w:rsidR="00A019C7">
        <w:rPr>
          <w:rFonts w:eastAsia="Calibri"/>
          <w:b/>
        </w:rPr>
        <w:t xml:space="preserve">mpact </w:t>
      </w:r>
      <w:r w:rsidR="00DD20E7" w:rsidRPr="001E445C">
        <w:rPr>
          <w:rFonts w:eastAsia="Calibri"/>
          <w:b/>
        </w:rPr>
        <w:t>A</w:t>
      </w:r>
      <w:r w:rsidR="00A019C7">
        <w:rPr>
          <w:rFonts w:eastAsia="Calibri"/>
          <w:b/>
        </w:rPr>
        <w:t>nalysis</w:t>
      </w:r>
      <w:r w:rsidR="00DD20E7" w:rsidRPr="001E445C">
        <w:rPr>
          <w:rFonts w:eastAsia="Calibri"/>
          <w:b/>
        </w:rPr>
        <w:t xml:space="preserve"> </w:t>
      </w:r>
      <w:r w:rsidRPr="001E445C">
        <w:rPr>
          <w:rFonts w:eastAsia="Calibri"/>
          <w:b/>
        </w:rPr>
        <w:t>Thresholds</w:t>
      </w:r>
    </w:p>
    <w:p w14:paraId="652C2557" w14:textId="77777777" w:rsidR="00CF48F6" w:rsidRPr="006331EC" w:rsidRDefault="00CF48F6" w:rsidP="00CF48F6">
      <w:pPr>
        <w:suppressAutoHyphens/>
        <w:ind w:left="1440"/>
        <w:jc w:val="center"/>
        <w:rPr>
          <w:rFonts w:eastAsia="Calibri"/>
        </w:rPr>
      </w:pPr>
    </w:p>
    <w:tbl>
      <w:tblPr>
        <w:tblW w:w="0" w:type="auto"/>
        <w:jc w:val="center"/>
        <w:tblLayout w:type="fixed"/>
        <w:tblCellMar>
          <w:left w:w="120" w:type="dxa"/>
          <w:right w:w="120" w:type="dxa"/>
        </w:tblCellMar>
        <w:tblLook w:val="0000" w:firstRow="0" w:lastRow="0" w:firstColumn="0" w:lastColumn="0" w:noHBand="0" w:noVBand="0"/>
      </w:tblPr>
      <w:tblGrid>
        <w:gridCol w:w="4794"/>
        <w:gridCol w:w="1368"/>
      </w:tblGrid>
      <w:tr w:rsidR="00CF48F6" w:rsidRPr="006331EC" w14:paraId="2D0408F5" w14:textId="77777777" w:rsidTr="001952D8">
        <w:trPr>
          <w:jc w:val="center"/>
        </w:trPr>
        <w:tc>
          <w:tcPr>
            <w:tcW w:w="4794" w:type="dxa"/>
            <w:tcBorders>
              <w:top w:val="double" w:sz="6" w:space="0" w:color="000000"/>
              <w:left w:val="double" w:sz="6" w:space="0" w:color="000000"/>
            </w:tcBorders>
          </w:tcPr>
          <w:p w14:paraId="69A16CB8" w14:textId="77777777" w:rsidR="00CF48F6" w:rsidRPr="006331EC" w:rsidRDefault="00CF48F6" w:rsidP="001952D8">
            <w:pPr>
              <w:keepLines/>
              <w:tabs>
                <w:tab w:val="center" w:pos="2678"/>
              </w:tabs>
              <w:jc w:val="center"/>
            </w:pPr>
            <w:r w:rsidRPr="006331EC">
              <w:t>Pollutant</w:t>
            </w:r>
          </w:p>
        </w:tc>
        <w:tc>
          <w:tcPr>
            <w:tcW w:w="1368" w:type="dxa"/>
            <w:tcBorders>
              <w:top w:val="double" w:sz="6" w:space="0" w:color="000000"/>
              <w:left w:val="single" w:sz="6" w:space="0" w:color="000000"/>
              <w:bottom w:val="single" w:sz="6" w:space="0" w:color="000000"/>
              <w:right w:val="double" w:sz="6" w:space="0" w:color="000000"/>
            </w:tcBorders>
          </w:tcPr>
          <w:p w14:paraId="70D4C12F" w14:textId="77777777" w:rsidR="00CF48F6" w:rsidRPr="006331EC" w:rsidRDefault="00CF48F6" w:rsidP="001952D8">
            <w:pPr>
              <w:keepLines/>
              <w:tabs>
                <w:tab w:val="center" w:pos="643"/>
              </w:tabs>
              <w:jc w:val="center"/>
            </w:pPr>
            <w:r w:rsidRPr="006331EC">
              <w:t>Pounds/day</w:t>
            </w:r>
          </w:p>
        </w:tc>
      </w:tr>
      <w:tr w:rsidR="00CF48F6" w:rsidRPr="006331EC" w14:paraId="020A4B55" w14:textId="77777777" w:rsidTr="00604C78">
        <w:trPr>
          <w:trHeight w:val="1362"/>
          <w:jc w:val="center"/>
        </w:trPr>
        <w:tc>
          <w:tcPr>
            <w:tcW w:w="4794" w:type="dxa"/>
            <w:tcBorders>
              <w:top w:val="single" w:sz="6" w:space="0" w:color="000000"/>
              <w:left w:val="double" w:sz="6" w:space="0" w:color="000000"/>
              <w:bottom w:val="double" w:sz="6" w:space="0" w:color="000000"/>
            </w:tcBorders>
          </w:tcPr>
          <w:p w14:paraId="0ED8739A" w14:textId="0A4A27F2" w:rsidR="00CF48F6" w:rsidRPr="006331EC" w:rsidRDefault="00CF48F6" w:rsidP="001952D8">
            <w:pPr>
              <w:keepLines/>
            </w:pPr>
            <w:r w:rsidRPr="006331EC">
              <w:t xml:space="preserve">Nitrogen </w:t>
            </w:r>
            <w:r w:rsidR="00557DF4" w:rsidRPr="006331EC">
              <w:t>O</w:t>
            </w:r>
            <w:r w:rsidRPr="006331EC">
              <w:t>xide</w:t>
            </w:r>
            <w:r w:rsidR="00557DF4" w:rsidRPr="006331EC">
              <w:t>s</w:t>
            </w:r>
            <w:r w:rsidRPr="006331EC">
              <w:t xml:space="preserve"> (as N</w:t>
            </w:r>
            <w:r w:rsidR="00B13092" w:rsidRPr="006331EC">
              <w:t>itrogen Dioxide</w:t>
            </w:r>
            <w:r w:rsidRPr="006331EC">
              <w:t>)</w:t>
            </w:r>
          </w:p>
          <w:p w14:paraId="20D79132" w14:textId="04EC1A69" w:rsidR="00CF48F6" w:rsidRPr="006331EC" w:rsidRDefault="00CF48F6" w:rsidP="001952D8">
            <w:pPr>
              <w:keepLines/>
            </w:pPr>
            <w:r w:rsidRPr="006331EC">
              <w:t xml:space="preserve">Sulfur </w:t>
            </w:r>
            <w:r w:rsidR="00557DF4" w:rsidRPr="006331EC">
              <w:t>O</w:t>
            </w:r>
            <w:r w:rsidRPr="006331EC">
              <w:t>xides (as S</w:t>
            </w:r>
            <w:r w:rsidR="00B13092" w:rsidRPr="006331EC">
              <w:t>ulfur Dioxide</w:t>
            </w:r>
            <w:r w:rsidRPr="006331EC">
              <w:t>)</w:t>
            </w:r>
          </w:p>
          <w:p w14:paraId="08E9F220" w14:textId="0753652D" w:rsidR="00CF48F6" w:rsidRPr="006331EC" w:rsidRDefault="00CF48F6" w:rsidP="001952D8">
            <w:pPr>
              <w:keepLines/>
            </w:pPr>
            <w:r w:rsidRPr="006331EC">
              <w:t>PM</w:t>
            </w:r>
            <w:r w:rsidRPr="006331EC">
              <w:rPr>
                <w:vertAlign w:val="subscript"/>
              </w:rPr>
              <w:t>10</w:t>
            </w:r>
            <w:r w:rsidRPr="006331EC">
              <w:t xml:space="preserve"> </w:t>
            </w:r>
          </w:p>
          <w:p w14:paraId="11FA69A1" w14:textId="255D20CD" w:rsidR="00CF48F6" w:rsidRPr="006331EC" w:rsidRDefault="00CF48F6" w:rsidP="001952D8">
            <w:pPr>
              <w:keepLines/>
            </w:pPr>
            <w:r w:rsidRPr="006331EC">
              <w:t>PM</w:t>
            </w:r>
            <w:r w:rsidRPr="006331EC">
              <w:rPr>
                <w:vertAlign w:val="subscript"/>
              </w:rPr>
              <w:t>2.5</w:t>
            </w:r>
            <w:r w:rsidRPr="006331EC">
              <w:t xml:space="preserve"> </w:t>
            </w:r>
          </w:p>
          <w:p w14:paraId="4EB2FB36" w14:textId="77777777" w:rsidR="00CF48F6" w:rsidRPr="006331EC" w:rsidRDefault="00CF48F6" w:rsidP="001952D8">
            <w:pPr>
              <w:keepLines/>
            </w:pPr>
            <w:r w:rsidRPr="006331EC">
              <w:t>Carbon Monoxide</w:t>
            </w:r>
          </w:p>
          <w:p w14:paraId="41B1CA87" w14:textId="1BE55E0E" w:rsidR="00CF48F6" w:rsidRPr="006331EC" w:rsidRDefault="00CF48F6" w:rsidP="00604C78">
            <w:pPr>
              <w:keepLines/>
            </w:pPr>
            <w:r w:rsidRPr="006331EC">
              <w:t>Lead</w:t>
            </w:r>
          </w:p>
        </w:tc>
        <w:tc>
          <w:tcPr>
            <w:tcW w:w="1368" w:type="dxa"/>
            <w:tcBorders>
              <w:top w:val="single" w:sz="6" w:space="0" w:color="000000"/>
              <w:left w:val="single" w:sz="6" w:space="0" w:color="000000"/>
              <w:bottom w:val="double" w:sz="6" w:space="0" w:color="000000"/>
              <w:right w:val="double" w:sz="6" w:space="0" w:color="000000"/>
            </w:tcBorders>
          </w:tcPr>
          <w:p w14:paraId="5CB37682" w14:textId="77777777" w:rsidR="00CF48F6" w:rsidRPr="006331EC" w:rsidRDefault="00CF48F6" w:rsidP="00604C78">
            <w:pPr>
              <w:keepLines/>
              <w:tabs>
                <w:tab w:val="decimal" w:pos="643"/>
              </w:tabs>
            </w:pPr>
            <w:r w:rsidRPr="006331EC">
              <w:t>120</w:t>
            </w:r>
          </w:p>
          <w:p w14:paraId="6BD62E6B" w14:textId="77777777" w:rsidR="00CF48F6" w:rsidRPr="006331EC" w:rsidRDefault="00CF48F6" w:rsidP="00604C78">
            <w:pPr>
              <w:keepLines/>
              <w:tabs>
                <w:tab w:val="decimal" w:pos="643"/>
              </w:tabs>
            </w:pPr>
            <w:r w:rsidRPr="006331EC">
              <w:t>120</w:t>
            </w:r>
          </w:p>
          <w:p w14:paraId="12BFACDE" w14:textId="77777777" w:rsidR="00CF48F6" w:rsidRPr="006331EC" w:rsidRDefault="00CF48F6" w:rsidP="00604C78">
            <w:pPr>
              <w:keepLines/>
              <w:tabs>
                <w:tab w:val="decimal" w:pos="643"/>
              </w:tabs>
            </w:pPr>
            <w:r w:rsidRPr="006331EC">
              <w:t>80</w:t>
            </w:r>
          </w:p>
          <w:p w14:paraId="5E578D00" w14:textId="05175929" w:rsidR="00CF48F6" w:rsidRPr="006331EC" w:rsidRDefault="00E63B31" w:rsidP="00604C78">
            <w:pPr>
              <w:keepLines/>
              <w:tabs>
                <w:tab w:val="decimal" w:pos="643"/>
              </w:tabs>
              <w:rPr>
                <w:smallCaps/>
              </w:rPr>
            </w:pPr>
            <w:r w:rsidRPr="006331EC">
              <w:rPr>
                <w:smallCaps/>
              </w:rPr>
              <w:t>55</w:t>
            </w:r>
          </w:p>
          <w:p w14:paraId="5FC9165C" w14:textId="48BBD218" w:rsidR="00CF48F6" w:rsidRPr="006331EC" w:rsidRDefault="00CF48F6" w:rsidP="00604C78">
            <w:pPr>
              <w:keepLines/>
              <w:tabs>
                <w:tab w:val="decimal" w:pos="643"/>
              </w:tabs>
            </w:pPr>
            <w:r w:rsidRPr="006331EC">
              <w:t>5</w:t>
            </w:r>
            <w:r w:rsidR="00604C78" w:rsidRPr="006331EC">
              <w:t>0</w:t>
            </w:r>
            <w:r w:rsidRPr="006331EC">
              <w:t>0</w:t>
            </w:r>
          </w:p>
          <w:p w14:paraId="7DF3838A" w14:textId="0488EA7C" w:rsidR="00CF48F6" w:rsidRPr="006331EC" w:rsidRDefault="00604C78" w:rsidP="00604C78">
            <w:pPr>
              <w:keepLines/>
              <w:tabs>
                <w:tab w:val="decimal" w:pos="643"/>
              </w:tabs>
              <w:rPr>
                <w:smallCaps/>
              </w:rPr>
            </w:pPr>
            <w:r w:rsidRPr="006331EC">
              <w:t xml:space="preserve">    </w:t>
            </w:r>
            <w:r w:rsidR="00CF48F6" w:rsidRPr="006331EC">
              <w:t>3.28</w:t>
            </w:r>
          </w:p>
        </w:tc>
      </w:tr>
    </w:tbl>
    <w:p w14:paraId="5FF8BBA4" w14:textId="77777777" w:rsidR="00CF48F6" w:rsidRDefault="00CF48F6" w:rsidP="00CF48F6">
      <w:pPr>
        <w:keepNext/>
        <w:suppressAutoHyphens/>
        <w:ind w:left="1440"/>
        <w:rPr>
          <w:rFonts w:eastAsia="Calibri"/>
        </w:rPr>
      </w:pPr>
    </w:p>
    <w:p w14:paraId="234B3FA0" w14:textId="77777777" w:rsidR="00E81E19" w:rsidRPr="006331EC" w:rsidRDefault="00E81E19" w:rsidP="00CF48F6">
      <w:pPr>
        <w:keepNext/>
        <w:suppressAutoHyphens/>
        <w:ind w:left="1440"/>
        <w:rPr>
          <w:rFonts w:eastAsia="Calibri"/>
        </w:rPr>
      </w:pPr>
    </w:p>
    <w:p w14:paraId="64437285" w14:textId="2F0002F7" w:rsidR="00CF48F6" w:rsidRPr="006331EC" w:rsidRDefault="00CF48F6" w:rsidP="003A602A">
      <w:pPr>
        <w:keepNext/>
        <w:ind w:left="720" w:hanging="7"/>
      </w:pPr>
      <w:r w:rsidRPr="006331EC">
        <w:rPr>
          <w:rFonts w:eastAsia="Calibri"/>
        </w:rPr>
        <w:t>2.</w:t>
      </w:r>
      <w:r w:rsidRPr="006331EC">
        <w:rPr>
          <w:rFonts w:eastAsia="Calibri"/>
        </w:rPr>
        <w:tab/>
      </w:r>
      <w:r w:rsidRPr="006331EC">
        <w:t>Air Quality Models</w:t>
      </w:r>
    </w:p>
    <w:p w14:paraId="0A8D5766" w14:textId="77777777" w:rsidR="00CF48F6" w:rsidRPr="006331EC" w:rsidRDefault="00CF48F6" w:rsidP="003A602A">
      <w:pPr>
        <w:keepNext/>
        <w:ind w:left="1094" w:hanging="547"/>
      </w:pPr>
    </w:p>
    <w:p w14:paraId="6B5E99ED" w14:textId="51C25B0C" w:rsidR="00CF48F6" w:rsidRPr="006331EC" w:rsidRDefault="000F5B6C" w:rsidP="003A602A">
      <w:pPr>
        <w:suppressAutoHyphens/>
        <w:ind w:left="1440"/>
      </w:pPr>
      <w:r w:rsidRPr="006331EC">
        <w:t>All air quality models shall be consistent with the requirements provided in the most recent "Guideline on Air Quality Models” prepared by the Environmental Protection Agency (Appendix W to 40 CFR Part 51) unless the Control Officer finds that such a model is inappropriate for use. After making such finding, the Control Officer may designate an alternate model only after allowing for public comment and only with concurrence of the California Air Resources Board and the Environmental Protection Agency.</w:t>
      </w:r>
    </w:p>
    <w:p w14:paraId="274409F1" w14:textId="77777777" w:rsidR="00CF48F6" w:rsidRPr="006331EC" w:rsidRDefault="00CF48F6" w:rsidP="003A602A">
      <w:pPr>
        <w:suppressAutoHyphens/>
        <w:rPr>
          <w:rFonts w:eastAsia="Calibri"/>
        </w:rPr>
      </w:pPr>
    </w:p>
    <w:p w14:paraId="7782DA8F" w14:textId="6E33C400" w:rsidR="006304CF" w:rsidRPr="006331EC" w:rsidRDefault="006304CF" w:rsidP="003A602A">
      <w:pPr>
        <w:keepNext/>
        <w:ind w:left="720" w:hanging="7"/>
        <w:rPr>
          <w:rFonts w:eastAsia="Calibri"/>
          <w:color w:val="000000"/>
        </w:rPr>
      </w:pPr>
      <w:r w:rsidRPr="006331EC">
        <w:rPr>
          <w:rFonts w:eastAsia="Calibri"/>
          <w:color w:val="000000"/>
        </w:rPr>
        <w:t>3.</w:t>
      </w:r>
      <w:r w:rsidRPr="006331EC">
        <w:rPr>
          <w:rFonts w:eastAsia="Calibri"/>
          <w:color w:val="000000"/>
        </w:rPr>
        <w:tab/>
        <w:t>Requirement</w:t>
      </w:r>
      <w:r w:rsidR="00082B13">
        <w:rPr>
          <w:rFonts w:eastAsia="Calibri"/>
          <w:color w:val="000000"/>
        </w:rPr>
        <w:t>s</w:t>
      </w:r>
      <w:r w:rsidRPr="006331EC">
        <w:rPr>
          <w:rFonts w:eastAsia="Calibri"/>
          <w:color w:val="000000"/>
        </w:rPr>
        <w:t xml:space="preserve"> </w:t>
      </w:r>
      <w:r w:rsidR="00082B13">
        <w:rPr>
          <w:rFonts w:eastAsia="Calibri"/>
          <w:color w:val="000000"/>
        </w:rPr>
        <w:t>–</w:t>
      </w:r>
      <w:r w:rsidRPr="006331EC">
        <w:rPr>
          <w:rFonts w:eastAsia="Calibri"/>
          <w:color w:val="000000"/>
        </w:rPr>
        <w:t xml:space="preserve"> Effective Stack Height </w:t>
      </w:r>
    </w:p>
    <w:p w14:paraId="7207944F" w14:textId="77777777" w:rsidR="006304CF" w:rsidRPr="006331EC" w:rsidRDefault="006304CF" w:rsidP="003A602A">
      <w:pPr>
        <w:keepNext/>
        <w:ind w:left="1094" w:hanging="547"/>
        <w:rPr>
          <w:rFonts w:eastAsia="Calibri"/>
          <w:color w:val="000000"/>
        </w:rPr>
      </w:pPr>
    </w:p>
    <w:p w14:paraId="27D19E5A" w14:textId="1FEE1D4E" w:rsidR="006304CF" w:rsidRPr="006331EC" w:rsidRDefault="006304CF" w:rsidP="003A602A">
      <w:pPr>
        <w:keepLines/>
        <w:ind w:left="1440"/>
        <w:rPr>
          <w:rFonts w:eastAsia="Calibri"/>
          <w:color w:val="000000"/>
        </w:rPr>
      </w:pPr>
      <w:r w:rsidRPr="006331EC">
        <w:rPr>
          <w:rFonts w:eastAsia="Calibri"/>
          <w:color w:val="000000"/>
        </w:rPr>
        <w:t>For the purposes of determining effective stack height, the influence of a nearby structure is limited to five times its height or width, whichever is less, downwind. In me</w:t>
      </w:r>
      <w:r w:rsidR="006B513F">
        <w:rPr>
          <w:rFonts w:eastAsia="Calibri"/>
          <w:color w:val="000000"/>
        </w:rPr>
        <w:t>eting the requirements of this r</w:t>
      </w:r>
      <w:r w:rsidRPr="006331EC">
        <w:rPr>
          <w:rFonts w:eastAsia="Calibri"/>
          <w:color w:val="000000"/>
        </w:rPr>
        <w:t>ule pertaining to compliance with applicable ambient air quality standards or increments, the degree of emission limitation required shall not be affected by:</w:t>
      </w:r>
    </w:p>
    <w:p w14:paraId="2FB49BB8" w14:textId="77777777" w:rsidR="006304CF" w:rsidRPr="006331EC" w:rsidRDefault="006304CF" w:rsidP="003A602A">
      <w:pPr>
        <w:keepLines/>
        <w:rPr>
          <w:rFonts w:eastAsia="Calibri"/>
          <w:color w:val="000000"/>
        </w:rPr>
      </w:pPr>
    </w:p>
    <w:p w14:paraId="3EC69E16" w14:textId="6BA7F231" w:rsidR="006304CF" w:rsidRPr="006331EC" w:rsidRDefault="006304CF" w:rsidP="003A602A">
      <w:pPr>
        <w:keepLines/>
        <w:ind w:left="2160" w:hanging="720"/>
        <w:rPr>
          <w:rFonts w:eastAsia="Calibri"/>
          <w:color w:val="000000"/>
        </w:rPr>
      </w:pPr>
      <w:r w:rsidRPr="006331EC">
        <w:rPr>
          <w:rFonts w:eastAsia="Calibri"/>
          <w:color w:val="000000"/>
        </w:rPr>
        <w:t>a.</w:t>
      </w:r>
      <w:r w:rsidRPr="006331EC">
        <w:rPr>
          <w:rFonts w:eastAsia="Calibri"/>
          <w:color w:val="000000"/>
        </w:rPr>
        <w:tab/>
      </w:r>
      <w:r w:rsidR="00F10597">
        <w:rPr>
          <w:rFonts w:eastAsia="Calibri"/>
          <w:color w:val="000000"/>
        </w:rPr>
        <w:t>S</w:t>
      </w:r>
      <w:r w:rsidRPr="006331EC">
        <w:rPr>
          <w:rFonts w:eastAsia="Calibri"/>
          <w:color w:val="000000"/>
        </w:rPr>
        <w:t>o much of the stack height of any source as exceeds good engineering practice</w:t>
      </w:r>
      <w:r w:rsidR="00E94141" w:rsidRPr="006331EC">
        <w:rPr>
          <w:rFonts w:eastAsia="Calibri"/>
          <w:color w:val="000000"/>
        </w:rPr>
        <w:t>,</w:t>
      </w:r>
      <w:r w:rsidRPr="006331EC">
        <w:rPr>
          <w:rFonts w:eastAsia="Calibri"/>
          <w:color w:val="000000"/>
        </w:rPr>
        <w:t xml:space="preserve"> or</w:t>
      </w:r>
    </w:p>
    <w:p w14:paraId="64AB8D54" w14:textId="77777777" w:rsidR="006304CF" w:rsidRPr="006331EC" w:rsidRDefault="006304CF" w:rsidP="003A602A">
      <w:pPr>
        <w:keepLines/>
        <w:ind w:left="1620" w:hanging="540"/>
        <w:rPr>
          <w:rFonts w:eastAsia="Calibri"/>
          <w:color w:val="000000"/>
        </w:rPr>
      </w:pPr>
    </w:p>
    <w:p w14:paraId="2459B977" w14:textId="25033CAF" w:rsidR="006304CF" w:rsidRPr="006331EC" w:rsidRDefault="006304CF" w:rsidP="003A602A">
      <w:pPr>
        <w:keepLines/>
        <w:ind w:left="2160" w:hanging="720"/>
        <w:rPr>
          <w:rFonts w:eastAsia="Calibri"/>
          <w:color w:val="000000"/>
        </w:rPr>
      </w:pPr>
      <w:r w:rsidRPr="006331EC">
        <w:rPr>
          <w:rFonts w:eastAsia="Calibri"/>
          <w:color w:val="000000"/>
        </w:rPr>
        <w:t>b.</w:t>
      </w:r>
      <w:r w:rsidRPr="006331EC">
        <w:rPr>
          <w:rFonts w:eastAsia="Calibri"/>
          <w:color w:val="000000"/>
        </w:rPr>
        <w:tab/>
      </w:r>
      <w:r w:rsidR="00F10597">
        <w:rPr>
          <w:rFonts w:eastAsia="Calibri"/>
          <w:color w:val="000000"/>
        </w:rPr>
        <w:t>A</w:t>
      </w:r>
      <w:r w:rsidRPr="006331EC">
        <w:rPr>
          <w:rFonts w:eastAsia="Calibri"/>
          <w:color w:val="000000"/>
        </w:rPr>
        <w:t>ny other dispersion technique.</w:t>
      </w:r>
    </w:p>
    <w:p w14:paraId="715E68C2" w14:textId="77777777" w:rsidR="007F1AD5" w:rsidRPr="006331EC" w:rsidRDefault="007F1AD5" w:rsidP="003A602A">
      <w:pPr>
        <w:suppressAutoHyphens/>
        <w:rPr>
          <w:b/>
        </w:rPr>
      </w:pPr>
    </w:p>
    <w:p w14:paraId="34703B4B" w14:textId="72B85742" w:rsidR="00BD47B6" w:rsidRPr="006331EC" w:rsidRDefault="000F5B6C" w:rsidP="003A602A">
      <w:pPr>
        <w:suppressAutoHyphens/>
        <w:rPr>
          <w:rFonts w:eastAsia="Calibri"/>
          <w:b/>
        </w:rPr>
      </w:pPr>
      <w:r w:rsidRPr="006331EC">
        <w:rPr>
          <w:b/>
        </w:rPr>
        <w:t>F</w:t>
      </w:r>
      <w:r w:rsidR="00BD47B6" w:rsidRPr="006331EC">
        <w:rPr>
          <w:b/>
        </w:rPr>
        <w:t xml:space="preserve">. </w:t>
      </w:r>
      <w:r w:rsidR="00BD47B6" w:rsidRPr="006331EC">
        <w:rPr>
          <w:b/>
        </w:rPr>
        <w:tab/>
      </w:r>
      <w:r w:rsidR="004C1FC9">
        <w:rPr>
          <w:rFonts w:eastAsia="Calibri"/>
          <w:b/>
        </w:rPr>
        <w:t xml:space="preserve">Requirements </w:t>
      </w:r>
      <w:r w:rsidR="004C1FC9">
        <w:rPr>
          <w:b/>
        </w:rPr>
        <w:t>–</w:t>
      </w:r>
      <w:r w:rsidR="00BD47B6" w:rsidRPr="006331EC">
        <w:rPr>
          <w:rFonts w:eastAsia="Calibri"/>
          <w:b/>
        </w:rPr>
        <w:t xml:space="preserve"> Standards for Granting Applications</w:t>
      </w:r>
    </w:p>
    <w:p w14:paraId="509F6950" w14:textId="77777777" w:rsidR="00BD47B6" w:rsidRPr="006331EC" w:rsidRDefault="00BD47B6" w:rsidP="003A602A">
      <w:pPr>
        <w:suppressAutoHyphens/>
        <w:rPr>
          <w:rFonts w:eastAsia="Calibri"/>
        </w:rPr>
      </w:pPr>
    </w:p>
    <w:p w14:paraId="0E97FD54" w14:textId="2E5683AD" w:rsidR="00514597" w:rsidRPr="006331EC" w:rsidRDefault="00BD47B6" w:rsidP="003A602A">
      <w:pPr>
        <w:keepNext/>
        <w:suppressAutoHyphens/>
        <w:ind w:left="1440" w:hanging="720"/>
      </w:pPr>
      <w:r w:rsidRPr="006331EC">
        <w:rPr>
          <w:rFonts w:eastAsia="Calibri"/>
        </w:rPr>
        <w:t>1.</w:t>
      </w:r>
      <w:r w:rsidRPr="006331EC">
        <w:rPr>
          <w:rFonts w:eastAsia="Calibri"/>
        </w:rPr>
        <w:tab/>
      </w:r>
      <w:r w:rsidR="00514597" w:rsidRPr="006331EC">
        <w:t>No Authority to Construct</w:t>
      </w:r>
      <w:r w:rsidR="003D5776" w:rsidRPr="006331EC">
        <w:t xml:space="preserve"> or </w:t>
      </w:r>
      <w:r w:rsidR="00514597" w:rsidRPr="006331EC">
        <w:t xml:space="preserve">Permit to Operate shall be issued for any project </w:t>
      </w:r>
      <w:r w:rsidR="003D5776" w:rsidRPr="006331EC">
        <w:t xml:space="preserve">subject to this rule </w:t>
      </w:r>
      <w:r w:rsidR="00514597" w:rsidRPr="006331EC">
        <w:t xml:space="preserve">unless </w:t>
      </w:r>
      <w:r w:rsidR="004248E9" w:rsidRPr="006331EC">
        <w:t xml:space="preserve">the Control Officer has made a determination </w:t>
      </w:r>
      <w:r w:rsidR="00514597" w:rsidRPr="006331EC">
        <w:t xml:space="preserve">that </w:t>
      </w:r>
      <w:r w:rsidR="004248E9" w:rsidRPr="006331EC">
        <w:t xml:space="preserve">the </w:t>
      </w:r>
      <w:r w:rsidR="00514597" w:rsidRPr="006331EC">
        <w:t>project</w:t>
      </w:r>
      <w:r w:rsidR="003D5776" w:rsidRPr="006331EC">
        <w:t xml:space="preserve"> </w:t>
      </w:r>
      <w:r w:rsidR="004248E9" w:rsidRPr="006331EC">
        <w:t xml:space="preserve">will comply </w:t>
      </w:r>
      <w:r w:rsidR="003D5776" w:rsidRPr="006331EC">
        <w:t>with all applicable S</w:t>
      </w:r>
      <w:r w:rsidR="003613CC" w:rsidRPr="006331EC">
        <w:t>tate Implementation Plan (S</w:t>
      </w:r>
      <w:r w:rsidR="003D5776" w:rsidRPr="006331EC">
        <w:t>IP</w:t>
      </w:r>
      <w:r w:rsidR="003613CC" w:rsidRPr="006331EC">
        <w:t>)</w:t>
      </w:r>
      <w:r w:rsidR="003D5776" w:rsidRPr="006331EC">
        <w:t xml:space="preserve"> requirements.</w:t>
      </w:r>
      <w:r w:rsidR="00514597" w:rsidRPr="006331EC">
        <w:t xml:space="preserve"> </w:t>
      </w:r>
    </w:p>
    <w:p w14:paraId="699A9A33" w14:textId="77777777" w:rsidR="00D12C3D" w:rsidRPr="006331EC" w:rsidRDefault="00D12C3D" w:rsidP="003A602A">
      <w:pPr>
        <w:keepNext/>
        <w:suppressAutoHyphens/>
        <w:ind w:left="1440" w:hanging="720"/>
      </w:pPr>
    </w:p>
    <w:p w14:paraId="6B1A8724" w14:textId="18421352" w:rsidR="00D12C3D" w:rsidRPr="006331EC" w:rsidRDefault="00D12C3D" w:rsidP="003A602A">
      <w:pPr>
        <w:keepNext/>
        <w:suppressAutoHyphens/>
        <w:ind w:left="1440" w:hanging="720"/>
      </w:pPr>
      <w:r w:rsidRPr="006331EC">
        <w:t>2.</w:t>
      </w:r>
      <w:r w:rsidRPr="006331EC">
        <w:tab/>
      </w:r>
      <w:r w:rsidR="0056606A" w:rsidRPr="006331EC">
        <w:t xml:space="preserve">No Authority to Construct or Permit to Operate shall be issued for any project subject to this rule unless the Control Officer has made a determination that the new or modified stationary source will not interfere with the District’s ability </w:t>
      </w:r>
      <w:r w:rsidR="00513C4A" w:rsidRPr="006331EC">
        <w:t xml:space="preserve">(or any neighboring </w:t>
      </w:r>
      <w:r w:rsidR="00A231A7">
        <w:t>d</w:t>
      </w:r>
      <w:r w:rsidR="006C2CCE">
        <w:t xml:space="preserve">istrict’s or </w:t>
      </w:r>
      <w:r w:rsidR="00513C4A" w:rsidRPr="006331EC">
        <w:t xml:space="preserve">state’s ability) </w:t>
      </w:r>
      <w:r w:rsidR="0056606A" w:rsidRPr="006331EC">
        <w:t xml:space="preserve">to attain or maintain all national ambient air quality standards. </w:t>
      </w:r>
    </w:p>
    <w:p w14:paraId="77DE3C21" w14:textId="77777777" w:rsidR="00EC6967" w:rsidRPr="006331EC" w:rsidRDefault="00EC6967" w:rsidP="003A602A">
      <w:pPr>
        <w:keepNext/>
        <w:suppressAutoHyphens/>
        <w:ind w:left="1440" w:hanging="720"/>
        <w:rPr>
          <w:spacing w:val="-2"/>
        </w:rPr>
      </w:pPr>
    </w:p>
    <w:p w14:paraId="23B5BC2B" w14:textId="5DE93F3A" w:rsidR="00EC6967" w:rsidRPr="006331EC" w:rsidRDefault="00E85F69" w:rsidP="003A602A">
      <w:pPr>
        <w:keepNext/>
        <w:suppressAutoHyphens/>
        <w:ind w:left="1440" w:hanging="720"/>
        <w:rPr>
          <w:spacing w:val="-2"/>
        </w:rPr>
      </w:pPr>
      <w:r w:rsidRPr="006331EC">
        <w:rPr>
          <w:spacing w:val="-2"/>
        </w:rPr>
        <w:t>3</w:t>
      </w:r>
      <w:r w:rsidR="00EC6967" w:rsidRPr="006331EC">
        <w:rPr>
          <w:spacing w:val="-2"/>
        </w:rPr>
        <w:t>.</w:t>
      </w:r>
      <w:r w:rsidR="00EC6967" w:rsidRPr="006331EC">
        <w:rPr>
          <w:spacing w:val="-2"/>
        </w:rPr>
        <w:tab/>
        <w:t xml:space="preserve">Before an Authority to Construct or a Permit to Operate is granted, the Control Officer may require the applicant to provide and maintain such facilities as are necessary for sampling and testing purposes in order to secure information that will disclose the nature, extent, quantity or degree of air </w:t>
      </w:r>
      <w:r w:rsidR="00513C4A" w:rsidRPr="006331EC">
        <w:rPr>
          <w:spacing w:val="-2"/>
        </w:rPr>
        <w:t>pollutants</w:t>
      </w:r>
      <w:r w:rsidR="00EC6967" w:rsidRPr="006331EC">
        <w:rPr>
          <w:spacing w:val="-2"/>
        </w:rPr>
        <w:t xml:space="preserve"> discharged into the atmosphere from the article, machine, equipment or other contrivance described in the </w:t>
      </w:r>
      <w:r w:rsidR="0031761D" w:rsidRPr="006331EC">
        <w:rPr>
          <w:spacing w:val="-2"/>
        </w:rPr>
        <w:t xml:space="preserve">Authority to Construct or </w:t>
      </w:r>
      <w:r w:rsidR="00EC6967" w:rsidRPr="006331EC">
        <w:rPr>
          <w:spacing w:val="-2"/>
        </w:rPr>
        <w:t>Permit to Operate. The platform and access for sampling shall be constructed in accordance with the General Industry Safety Orders of the State of California.</w:t>
      </w:r>
    </w:p>
    <w:p w14:paraId="3781B2A4" w14:textId="77777777" w:rsidR="0042184E" w:rsidRPr="006331EC" w:rsidRDefault="0042184E" w:rsidP="003A602A">
      <w:pPr>
        <w:keepNext/>
        <w:suppressAutoHyphens/>
        <w:ind w:left="1440" w:hanging="720"/>
        <w:rPr>
          <w:spacing w:val="-2"/>
        </w:rPr>
      </w:pPr>
    </w:p>
    <w:p w14:paraId="11429D00" w14:textId="6AE0D258" w:rsidR="00E85F69" w:rsidRPr="006331EC" w:rsidRDefault="00E85F69" w:rsidP="003A602A">
      <w:pPr>
        <w:keepNext/>
        <w:suppressAutoHyphens/>
        <w:ind w:left="1440" w:hanging="720"/>
      </w:pPr>
      <w:r w:rsidRPr="006331EC">
        <w:rPr>
          <w:spacing w:val="-2"/>
        </w:rPr>
        <w:t>4</w:t>
      </w:r>
      <w:r w:rsidR="0042184E" w:rsidRPr="006331EC">
        <w:rPr>
          <w:spacing w:val="-2"/>
        </w:rPr>
        <w:t>.</w:t>
      </w:r>
      <w:r w:rsidR="0042184E" w:rsidRPr="006331EC">
        <w:rPr>
          <w:spacing w:val="-2"/>
        </w:rPr>
        <w:tab/>
      </w:r>
      <w:r w:rsidRPr="006331EC">
        <w:t>The Control Officer may issue an Authority to Construct or Permit to Operate to any new</w:t>
      </w:r>
      <w:r w:rsidR="00E66CDC" w:rsidRPr="006331EC">
        <w:t xml:space="preserve"> </w:t>
      </w:r>
      <w:r w:rsidRPr="006331EC">
        <w:t>or modified stationary source for which a permit is required, subject to specified written conditions.</w:t>
      </w:r>
      <w:r w:rsidR="00E66CDC" w:rsidRPr="006331EC">
        <w:t xml:space="preserve"> </w:t>
      </w:r>
      <w:r w:rsidRPr="006331EC">
        <w:t>Such conditions are for the purpose of ensuring that construction and operation of the source complies with all applicable local, state, and federal air qualit</w:t>
      </w:r>
      <w:r w:rsidR="00852C6A">
        <w:t>y laws, rules, and regulations.</w:t>
      </w:r>
      <w:r w:rsidR="00E66CDC" w:rsidRPr="006331EC">
        <w:t xml:space="preserve"> </w:t>
      </w:r>
      <w:r w:rsidRPr="006331EC">
        <w:lastRenderedPageBreak/>
        <w:t>Commencing construction or operation under such an Authority to Construct or Permit to Operate shall be deemed acceptance of all the specified conditions. Failure to comply with any condition specified pursuant to the provisions of this rule shall be a violation of this</w:t>
      </w:r>
      <w:r w:rsidR="00E66CDC" w:rsidRPr="006331EC">
        <w:t xml:space="preserve"> rule</w:t>
      </w:r>
      <w:r w:rsidRPr="006331EC">
        <w:t>.</w:t>
      </w:r>
    </w:p>
    <w:p w14:paraId="55578F3B" w14:textId="77777777" w:rsidR="00551E15" w:rsidRPr="006331EC" w:rsidRDefault="00551E15" w:rsidP="003A602A">
      <w:pPr>
        <w:keepNext/>
        <w:suppressAutoHyphens/>
        <w:ind w:left="1440" w:hanging="720"/>
      </w:pPr>
    </w:p>
    <w:p w14:paraId="7A5A1E2A" w14:textId="77777777" w:rsidR="00551E15" w:rsidRPr="006331EC" w:rsidRDefault="00551E15" w:rsidP="003A602A">
      <w:pPr>
        <w:keepNext/>
        <w:suppressAutoHyphens/>
        <w:ind w:left="1440" w:hanging="720"/>
      </w:pPr>
      <w:r w:rsidRPr="006331EC">
        <w:t>5.</w:t>
      </w:r>
      <w:r w:rsidRPr="006331EC">
        <w:tab/>
        <w:t>The Control Officer may issue a new Permit to Operate with revised conditions upon receipt of an application which modifies the project in such a manner to ensure that the source can operate in compliance with all applicable local, state, and federal air quality laws, rules and regulations.</w:t>
      </w:r>
    </w:p>
    <w:p w14:paraId="6E442339" w14:textId="77777777" w:rsidR="00551E15" w:rsidRPr="006331EC" w:rsidRDefault="00551E15" w:rsidP="003A602A">
      <w:pPr>
        <w:keepNext/>
        <w:suppressAutoHyphens/>
        <w:ind w:left="1440" w:hanging="720"/>
      </w:pPr>
    </w:p>
    <w:p w14:paraId="47082630" w14:textId="45D98D85" w:rsidR="00551E15" w:rsidRPr="006331EC" w:rsidRDefault="00551E15" w:rsidP="003A602A">
      <w:pPr>
        <w:keepNext/>
        <w:suppressAutoHyphens/>
        <w:ind w:left="1440" w:hanging="720"/>
      </w:pPr>
      <w:r w:rsidRPr="006331EC">
        <w:t xml:space="preserve">6. </w:t>
      </w:r>
      <w:r w:rsidRPr="006331EC">
        <w:tab/>
        <w:t>No Authority to Construct or Permit to Operate shall be issued for any project subject to this rule unless the Control Officer has complied with the Public Notice Requirements specified in Section G of this rule.</w:t>
      </w:r>
    </w:p>
    <w:p w14:paraId="36E42C3B" w14:textId="77777777" w:rsidR="00CF48F6" w:rsidRPr="006331EC" w:rsidRDefault="00CF48F6" w:rsidP="003A602A">
      <w:pPr>
        <w:keepNext/>
        <w:suppressAutoHyphens/>
        <w:ind w:left="1440" w:hanging="720"/>
        <w:rPr>
          <w:spacing w:val="-2"/>
        </w:rPr>
      </w:pPr>
    </w:p>
    <w:p w14:paraId="4712E34C" w14:textId="535851B9" w:rsidR="00506157" w:rsidRPr="006331EC" w:rsidRDefault="00182DD3" w:rsidP="003A602A">
      <w:pPr>
        <w:suppressAutoHyphens/>
        <w:rPr>
          <w:rFonts w:eastAsia="Calibri"/>
          <w:b/>
        </w:rPr>
      </w:pPr>
      <w:r w:rsidRPr="006331EC">
        <w:rPr>
          <w:b/>
        </w:rPr>
        <w:t>G</w:t>
      </w:r>
      <w:r w:rsidR="001207F7" w:rsidRPr="006331EC">
        <w:rPr>
          <w:b/>
        </w:rPr>
        <w:t xml:space="preserve">. </w:t>
      </w:r>
      <w:r w:rsidR="001207F7" w:rsidRPr="006331EC">
        <w:rPr>
          <w:b/>
        </w:rPr>
        <w:tab/>
      </w:r>
      <w:r w:rsidR="00506157" w:rsidRPr="006331EC">
        <w:rPr>
          <w:rFonts w:eastAsia="Calibri"/>
          <w:b/>
        </w:rPr>
        <w:t xml:space="preserve">Requirements </w:t>
      </w:r>
      <w:r w:rsidR="00D53A01" w:rsidRPr="006331EC">
        <w:rPr>
          <w:rFonts w:eastAsia="Calibri"/>
          <w:b/>
        </w:rPr>
        <w:t>–</w:t>
      </w:r>
      <w:r w:rsidR="00506157" w:rsidRPr="006331EC">
        <w:rPr>
          <w:rFonts w:eastAsia="Calibri"/>
          <w:b/>
        </w:rPr>
        <w:t xml:space="preserve"> </w:t>
      </w:r>
      <w:r w:rsidR="005F7165" w:rsidRPr="006331EC">
        <w:rPr>
          <w:rFonts w:eastAsia="Calibri"/>
          <w:b/>
        </w:rPr>
        <w:t xml:space="preserve">Analysis and </w:t>
      </w:r>
      <w:r w:rsidR="00D53A01" w:rsidRPr="006331EC">
        <w:rPr>
          <w:rFonts w:eastAsia="Calibri"/>
          <w:b/>
        </w:rPr>
        <w:t>Public Notice</w:t>
      </w:r>
      <w:r w:rsidR="00506157" w:rsidRPr="006331EC">
        <w:rPr>
          <w:rFonts w:eastAsia="Calibri"/>
          <w:b/>
        </w:rPr>
        <w:t xml:space="preserve"> </w:t>
      </w:r>
    </w:p>
    <w:p w14:paraId="39DE9BE4" w14:textId="77777777" w:rsidR="001D4B8D" w:rsidRPr="006331EC" w:rsidRDefault="001D4B8D" w:rsidP="003A602A">
      <w:pPr>
        <w:keepNext/>
        <w:suppressAutoHyphens/>
        <w:ind w:left="720"/>
        <w:rPr>
          <w:rFonts w:eastAsia="Calibri"/>
          <w:color w:val="000000"/>
        </w:rPr>
      </w:pPr>
    </w:p>
    <w:p w14:paraId="57C23BBC" w14:textId="3C39A785" w:rsidR="002940C5" w:rsidRPr="006331EC" w:rsidRDefault="005F7165" w:rsidP="003A602A">
      <w:pPr>
        <w:keepNext/>
        <w:suppressAutoHyphens/>
        <w:ind w:left="720"/>
        <w:rPr>
          <w:rFonts w:eastAsia="Calibri"/>
          <w:color w:val="000000"/>
        </w:rPr>
      </w:pPr>
      <w:r w:rsidRPr="006331EC">
        <w:rPr>
          <w:rFonts w:eastAsia="Calibri"/>
          <w:color w:val="000000"/>
        </w:rPr>
        <w:t xml:space="preserve">The Control Officer shall </w:t>
      </w:r>
      <w:r w:rsidR="00D04415" w:rsidRPr="006331EC">
        <w:rPr>
          <w:rFonts w:eastAsia="Calibri"/>
          <w:color w:val="000000"/>
        </w:rPr>
        <w:t>comply with</w:t>
      </w:r>
      <w:r w:rsidRPr="006331EC">
        <w:rPr>
          <w:rFonts w:eastAsia="Calibri"/>
          <w:color w:val="000000"/>
        </w:rPr>
        <w:t xml:space="preserve"> the </w:t>
      </w:r>
      <w:r w:rsidR="00D04415" w:rsidRPr="006331EC">
        <w:rPr>
          <w:rFonts w:eastAsia="Calibri"/>
          <w:color w:val="000000"/>
        </w:rPr>
        <w:t xml:space="preserve">following </w:t>
      </w:r>
      <w:r w:rsidRPr="006331EC">
        <w:rPr>
          <w:rFonts w:eastAsia="Calibri"/>
          <w:color w:val="000000"/>
        </w:rPr>
        <w:t xml:space="preserve">requirements </w:t>
      </w:r>
      <w:r w:rsidR="00D04415" w:rsidRPr="006331EC">
        <w:rPr>
          <w:rFonts w:eastAsia="Calibri"/>
        </w:rPr>
        <w:t>for any new or modified stationary source with an emission increase of any air pollutant (or its precursors) which is equal to or greater than a</w:t>
      </w:r>
      <w:r w:rsidR="00852C6A">
        <w:rPr>
          <w:rFonts w:eastAsia="Calibri"/>
        </w:rPr>
        <w:t xml:space="preserve">ny threshold shown in Table 1. </w:t>
      </w:r>
    </w:p>
    <w:p w14:paraId="517A762F" w14:textId="77777777" w:rsidR="002940C5" w:rsidRPr="006331EC" w:rsidRDefault="002940C5" w:rsidP="003A602A">
      <w:pPr>
        <w:suppressAutoHyphens/>
        <w:rPr>
          <w:rFonts w:eastAsia="Calibri"/>
          <w:color w:val="000000"/>
        </w:rPr>
      </w:pPr>
    </w:p>
    <w:p w14:paraId="3021C32C" w14:textId="6C4C3B13" w:rsidR="002940C5" w:rsidRPr="006331EC" w:rsidRDefault="002940C5" w:rsidP="003A602A">
      <w:pPr>
        <w:keepNext/>
        <w:suppressAutoHyphens/>
        <w:ind w:left="1440" w:hanging="720"/>
        <w:rPr>
          <w:rFonts w:eastAsia="Calibri"/>
          <w:color w:val="000000"/>
        </w:rPr>
      </w:pPr>
      <w:r w:rsidRPr="006331EC">
        <w:rPr>
          <w:rFonts w:eastAsia="Calibri"/>
          <w:color w:val="000000"/>
        </w:rPr>
        <w:t>1</w:t>
      </w:r>
      <w:r w:rsidR="00CD157A" w:rsidRPr="006331EC">
        <w:rPr>
          <w:rFonts w:eastAsia="Calibri"/>
          <w:color w:val="000000"/>
        </w:rPr>
        <w:t>.</w:t>
      </w:r>
      <w:r w:rsidRPr="006331EC">
        <w:rPr>
          <w:rFonts w:eastAsia="Calibri"/>
          <w:color w:val="000000"/>
        </w:rPr>
        <w:tab/>
      </w:r>
      <w:r w:rsidRPr="006331EC">
        <w:rPr>
          <w:rFonts w:eastAsia="Calibri"/>
        </w:rPr>
        <w:t>Make</w:t>
      </w:r>
      <w:r w:rsidRPr="006331EC">
        <w:rPr>
          <w:rFonts w:eastAsia="Calibri"/>
          <w:color w:val="000000"/>
        </w:rPr>
        <w:t xml:space="preserve"> available for public inspection </w:t>
      </w:r>
      <w:r w:rsidR="00074207" w:rsidRPr="006331EC">
        <w:rPr>
          <w:rFonts w:eastAsia="Calibri"/>
          <w:color w:val="000000"/>
        </w:rPr>
        <w:t xml:space="preserve">at the District’s office </w:t>
      </w:r>
      <w:r w:rsidRPr="006331EC">
        <w:rPr>
          <w:rFonts w:eastAsia="Calibri"/>
          <w:color w:val="000000"/>
        </w:rPr>
        <w:t>the analysis of the effect of the source on air quality and the preliminary decision to grant or deny the Authority to Construct.</w:t>
      </w:r>
    </w:p>
    <w:p w14:paraId="1A494AB3" w14:textId="77777777" w:rsidR="002940C5" w:rsidRPr="006331EC" w:rsidRDefault="002940C5" w:rsidP="003A602A">
      <w:pPr>
        <w:keepNext/>
        <w:suppressAutoHyphens/>
        <w:ind w:left="1440" w:hanging="720"/>
        <w:rPr>
          <w:rFonts w:eastAsia="Calibri"/>
          <w:color w:val="000000"/>
        </w:rPr>
      </w:pPr>
    </w:p>
    <w:p w14:paraId="08C37518" w14:textId="0ADC68D2" w:rsidR="002940C5" w:rsidRPr="006331EC" w:rsidRDefault="002940C5" w:rsidP="003A602A">
      <w:pPr>
        <w:keepNext/>
        <w:suppressAutoHyphens/>
        <w:ind w:left="1440" w:hanging="720"/>
        <w:rPr>
          <w:rFonts w:eastAsia="Calibri"/>
          <w:color w:val="000000"/>
        </w:rPr>
      </w:pPr>
      <w:r w:rsidRPr="006331EC">
        <w:rPr>
          <w:rFonts w:eastAsia="Calibri"/>
          <w:color w:val="000000"/>
        </w:rPr>
        <w:t>2</w:t>
      </w:r>
      <w:r w:rsidR="00CD157A" w:rsidRPr="006331EC">
        <w:rPr>
          <w:rFonts w:eastAsia="Calibri"/>
          <w:color w:val="000000"/>
        </w:rPr>
        <w:t>.</w:t>
      </w:r>
      <w:r w:rsidRPr="006331EC">
        <w:rPr>
          <w:rFonts w:eastAsia="Calibri"/>
          <w:color w:val="000000"/>
        </w:rPr>
        <w:tab/>
        <w:t xml:space="preserve">Publish a notice once by advertisement in at least one newspaper of general circulation in the District, stating where the public may inspect the information on the preliminary decision to grant an Authority to Construct. The notice shall provide 30 days for the public to submit comments on the application, beginning on the date of publication. </w:t>
      </w:r>
    </w:p>
    <w:p w14:paraId="4D6FD8CF" w14:textId="77777777" w:rsidR="002940C5" w:rsidRPr="006331EC" w:rsidRDefault="002940C5" w:rsidP="003A602A">
      <w:pPr>
        <w:keepNext/>
        <w:suppressAutoHyphens/>
        <w:ind w:left="1440" w:hanging="720"/>
        <w:rPr>
          <w:rFonts w:eastAsia="Calibri"/>
          <w:color w:val="000000"/>
        </w:rPr>
      </w:pPr>
    </w:p>
    <w:p w14:paraId="56DD54CA" w14:textId="083BDB39" w:rsidR="002940C5" w:rsidRPr="006331EC" w:rsidRDefault="002940C5" w:rsidP="003A602A">
      <w:pPr>
        <w:keepNext/>
        <w:suppressAutoHyphens/>
        <w:ind w:left="1440" w:hanging="720"/>
        <w:rPr>
          <w:rFonts w:eastAsia="Calibri"/>
          <w:color w:val="000000"/>
        </w:rPr>
      </w:pPr>
      <w:r w:rsidRPr="006331EC">
        <w:rPr>
          <w:rFonts w:eastAsia="Calibri"/>
          <w:color w:val="000000"/>
        </w:rPr>
        <w:t>3</w:t>
      </w:r>
      <w:r w:rsidR="00CD157A" w:rsidRPr="006331EC">
        <w:rPr>
          <w:rFonts w:eastAsia="Calibri"/>
          <w:color w:val="000000"/>
        </w:rPr>
        <w:t>.</w:t>
      </w:r>
      <w:r w:rsidRPr="006331EC">
        <w:rPr>
          <w:rFonts w:eastAsia="Calibri"/>
          <w:color w:val="000000"/>
        </w:rPr>
        <w:tab/>
        <w:t xml:space="preserve">Notify the applicant, </w:t>
      </w:r>
      <w:r w:rsidR="00E01C8E" w:rsidRPr="006331EC">
        <w:rPr>
          <w:rFonts w:eastAsia="Calibri"/>
          <w:color w:val="000000"/>
        </w:rPr>
        <w:t xml:space="preserve">Environmental Protection Agency, </w:t>
      </w:r>
      <w:r w:rsidRPr="006331EC">
        <w:rPr>
          <w:rFonts w:eastAsia="Calibri"/>
          <w:color w:val="000000"/>
        </w:rPr>
        <w:t xml:space="preserve">Air Resources Board, and adjoining air pollution control districts of the District's preliminary decision to grant the Authority to Construct. The notice will be provided in writing at the time of public notice. The </w:t>
      </w:r>
      <w:r w:rsidR="00E01C8E" w:rsidRPr="006331EC">
        <w:rPr>
          <w:rFonts w:eastAsia="Calibri"/>
          <w:color w:val="000000"/>
        </w:rPr>
        <w:t xml:space="preserve">Environmental Protection Agency and the </w:t>
      </w:r>
      <w:r w:rsidRPr="006331EC">
        <w:rPr>
          <w:rFonts w:eastAsia="Calibri"/>
          <w:color w:val="000000"/>
        </w:rPr>
        <w:t xml:space="preserve">Air Resources Board </w:t>
      </w:r>
      <w:r w:rsidR="00D77FBA">
        <w:rPr>
          <w:rFonts w:eastAsia="Calibri"/>
          <w:color w:val="000000"/>
        </w:rPr>
        <w:t>shall</w:t>
      </w:r>
      <w:r w:rsidRPr="006331EC">
        <w:rPr>
          <w:rFonts w:eastAsia="Calibri"/>
          <w:color w:val="000000"/>
        </w:rPr>
        <w:t xml:space="preserve"> be provided an analysis support package for the determination. </w:t>
      </w:r>
    </w:p>
    <w:p w14:paraId="040AB030" w14:textId="77777777" w:rsidR="002940C5" w:rsidRPr="006331EC" w:rsidRDefault="002940C5" w:rsidP="003A602A">
      <w:pPr>
        <w:keepNext/>
        <w:suppressAutoHyphens/>
        <w:ind w:left="1440" w:hanging="720"/>
        <w:rPr>
          <w:rFonts w:eastAsia="Calibri"/>
          <w:color w:val="000000"/>
        </w:rPr>
      </w:pPr>
    </w:p>
    <w:p w14:paraId="2915DD02" w14:textId="49477F66" w:rsidR="002940C5" w:rsidRPr="006331EC" w:rsidRDefault="002940C5" w:rsidP="003A602A">
      <w:pPr>
        <w:keepNext/>
        <w:suppressAutoHyphens/>
        <w:ind w:left="1440" w:hanging="720"/>
        <w:rPr>
          <w:rFonts w:eastAsia="Calibri"/>
          <w:color w:val="000000"/>
        </w:rPr>
      </w:pPr>
      <w:r w:rsidRPr="006331EC">
        <w:rPr>
          <w:rFonts w:eastAsia="Calibri"/>
          <w:color w:val="000000"/>
        </w:rPr>
        <w:t>4</w:t>
      </w:r>
      <w:r w:rsidR="00CD157A" w:rsidRPr="006331EC">
        <w:rPr>
          <w:rFonts w:eastAsia="Calibri"/>
          <w:color w:val="000000"/>
        </w:rPr>
        <w:t>.</w:t>
      </w:r>
      <w:r w:rsidRPr="006331EC">
        <w:rPr>
          <w:rFonts w:eastAsia="Calibri"/>
          <w:color w:val="000000"/>
        </w:rPr>
        <w:tab/>
        <w:t>Consider all comments submitted. If within the 30</w:t>
      </w:r>
      <w:r w:rsidRPr="006331EC">
        <w:rPr>
          <w:rFonts w:eastAsia="Calibri"/>
          <w:color w:val="000000"/>
        </w:rPr>
        <w:noBreakHyphen/>
        <w:t xml:space="preserve">day notice period the Control Officer receives a written request from the </w:t>
      </w:r>
      <w:r w:rsidR="00E01C8E" w:rsidRPr="006331EC">
        <w:rPr>
          <w:rFonts w:eastAsia="Calibri"/>
          <w:color w:val="000000"/>
        </w:rPr>
        <w:t xml:space="preserve">Environmental Protection Agency or the </w:t>
      </w:r>
      <w:r w:rsidRPr="006331EC">
        <w:rPr>
          <w:rFonts w:eastAsia="Calibri"/>
          <w:color w:val="000000"/>
        </w:rPr>
        <w:t xml:space="preserve">Air Resources Board to defer his or her decision pending the requesting agency's review of the application, the Control Officer shall defer any decision for a period of 30 days from the date of such request. </w:t>
      </w:r>
      <w:r w:rsidR="0065515F" w:rsidRPr="006331EC">
        <w:rPr>
          <w:rFonts w:eastAsia="Calibri"/>
          <w:color w:val="000000"/>
        </w:rPr>
        <w:t>T</w:t>
      </w:r>
      <w:r w:rsidRPr="006331EC">
        <w:rPr>
          <w:rFonts w:eastAsia="Calibri"/>
          <w:color w:val="000000"/>
        </w:rPr>
        <w:t>he Control Officer shall take final action on the application after considering all written comments.</w:t>
      </w:r>
    </w:p>
    <w:p w14:paraId="46CC58B6" w14:textId="77777777" w:rsidR="002940C5" w:rsidRPr="006331EC" w:rsidRDefault="002940C5" w:rsidP="003A602A">
      <w:pPr>
        <w:keepNext/>
        <w:suppressAutoHyphens/>
        <w:ind w:left="1440" w:hanging="720"/>
        <w:rPr>
          <w:rFonts w:eastAsia="Calibri"/>
          <w:color w:val="000000"/>
        </w:rPr>
      </w:pPr>
    </w:p>
    <w:p w14:paraId="65530BCB" w14:textId="582B891B" w:rsidR="0028163B" w:rsidRPr="006331EC" w:rsidRDefault="002940C5" w:rsidP="003A602A">
      <w:pPr>
        <w:keepNext/>
        <w:suppressAutoHyphens/>
        <w:ind w:left="1440" w:hanging="720"/>
        <w:rPr>
          <w:rFonts w:eastAsia="Calibri"/>
          <w:b/>
        </w:rPr>
      </w:pPr>
      <w:r w:rsidRPr="006331EC">
        <w:rPr>
          <w:rFonts w:eastAsia="Calibri"/>
          <w:color w:val="000000"/>
        </w:rPr>
        <w:t>5</w:t>
      </w:r>
      <w:r w:rsidR="00CD157A" w:rsidRPr="006331EC">
        <w:rPr>
          <w:rFonts w:eastAsia="Calibri"/>
          <w:color w:val="000000"/>
        </w:rPr>
        <w:t>.</w:t>
      </w:r>
      <w:r w:rsidRPr="006331EC">
        <w:rPr>
          <w:rFonts w:eastAsia="Calibri"/>
          <w:color w:val="000000"/>
        </w:rPr>
        <w:tab/>
        <w:t>The public notice will include notification of the opportunity for a public hearing. A public hearing may be called if sufficient interest is generated within the 30</w:t>
      </w:r>
      <w:r w:rsidRPr="006331EC">
        <w:rPr>
          <w:rFonts w:eastAsia="Calibri"/>
          <w:color w:val="000000"/>
        </w:rPr>
        <w:noBreakHyphen/>
        <w:t xml:space="preserve">day comment period. </w:t>
      </w:r>
      <w:r w:rsidR="00115189">
        <w:rPr>
          <w:rFonts w:eastAsia="Calibri"/>
          <w:color w:val="000000"/>
        </w:rPr>
        <w:t xml:space="preserve">All public hearings shall have a public notice issued at least 30 days prior to the hearing. </w:t>
      </w:r>
      <w:r w:rsidRPr="006331EC">
        <w:rPr>
          <w:rFonts w:eastAsia="Calibri"/>
          <w:color w:val="000000"/>
        </w:rPr>
        <w:t xml:space="preserve">After considering all comments, including those presented at any hearings held, the Control Officer will reach a decision and notify the applicant, </w:t>
      </w:r>
      <w:r w:rsidR="007A3078" w:rsidRPr="006331EC">
        <w:rPr>
          <w:rFonts w:eastAsia="Calibri"/>
          <w:color w:val="000000"/>
        </w:rPr>
        <w:t xml:space="preserve">Environmental Protection Agency, </w:t>
      </w:r>
      <w:r w:rsidRPr="006331EC">
        <w:rPr>
          <w:rFonts w:eastAsia="Calibri"/>
          <w:color w:val="000000"/>
        </w:rPr>
        <w:t xml:space="preserve">Air Resources Board, adjoining air pollution control districts, and any person who </w:t>
      </w:r>
      <w:r w:rsidR="00D77FBA">
        <w:rPr>
          <w:rFonts w:eastAsia="Calibri"/>
          <w:color w:val="000000"/>
        </w:rPr>
        <w:t xml:space="preserve">provided comments or </w:t>
      </w:r>
      <w:r w:rsidRPr="006331EC">
        <w:rPr>
          <w:rFonts w:eastAsia="Calibri"/>
          <w:color w:val="000000"/>
        </w:rPr>
        <w:t>has made a written request to be notified of the final decision. The Control Officer’s notification of the final decision may be made electronically</w:t>
      </w:r>
      <w:r w:rsidR="0065515F" w:rsidRPr="006331EC">
        <w:rPr>
          <w:rFonts w:eastAsia="Calibri"/>
          <w:color w:val="000000"/>
        </w:rPr>
        <w:t>.</w:t>
      </w:r>
    </w:p>
    <w:p w14:paraId="2B258737" w14:textId="77777777" w:rsidR="001D4B8D" w:rsidRPr="006331EC" w:rsidRDefault="001D4B8D" w:rsidP="003A602A">
      <w:pPr>
        <w:suppressAutoHyphens/>
        <w:ind w:left="1890" w:hanging="450"/>
        <w:rPr>
          <w:rFonts w:eastAsia="Calibri"/>
          <w:b/>
        </w:rPr>
      </w:pPr>
    </w:p>
    <w:p w14:paraId="335469FF" w14:textId="0299665A" w:rsidR="007F1AD5" w:rsidRPr="006331EC" w:rsidRDefault="00551E15" w:rsidP="003A602A">
      <w:pPr>
        <w:ind w:left="720" w:hanging="720"/>
        <w:rPr>
          <w:b/>
        </w:rPr>
      </w:pPr>
      <w:r w:rsidRPr="006331EC">
        <w:rPr>
          <w:b/>
        </w:rPr>
        <w:t>H</w:t>
      </w:r>
      <w:r w:rsidR="007F1AD5" w:rsidRPr="006331EC">
        <w:rPr>
          <w:b/>
        </w:rPr>
        <w:t>.</w:t>
      </w:r>
      <w:r w:rsidR="007F1AD5" w:rsidRPr="006331EC">
        <w:rPr>
          <w:b/>
        </w:rPr>
        <w:tab/>
        <w:t xml:space="preserve">Denial of Permit </w:t>
      </w:r>
    </w:p>
    <w:p w14:paraId="48733AB8" w14:textId="77777777" w:rsidR="007F1AD5" w:rsidRPr="006331EC" w:rsidRDefault="007F1AD5" w:rsidP="003A602A">
      <w:pPr>
        <w:ind w:left="720" w:hanging="720"/>
      </w:pPr>
    </w:p>
    <w:p w14:paraId="07A091F1" w14:textId="445E159A" w:rsidR="007F1AD5" w:rsidRPr="006331EC" w:rsidRDefault="001946A2" w:rsidP="003A602A">
      <w:pPr>
        <w:keepNext/>
        <w:suppressAutoHyphens/>
        <w:ind w:left="720"/>
        <w:rPr>
          <w:spacing w:val="-2"/>
        </w:rPr>
      </w:pPr>
      <w:r w:rsidRPr="006331EC">
        <w:t>The Control Officer shall notify the applicant in writing if</w:t>
      </w:r>
      <w:r w:rsidR="007F1AD5" w:rsidRPr="006331EC">
        <w:t xml:space="preserve"> the Authority to Construct or Permit to Operate</w:t>
      </w:r>
      <w:r w:rsidR="00C30978" w:rsidRPr="006331EC">
        <w:t xml:space="preserve"> is denied</w:t>
      </w:r>
      <w:r w:rsidRPr="006331EC">
        <w:t xml:space="preserve">. This notification shall </w:t>
      </w:r>
      <w:r w:rsidR="00CC30E8" w:rsidRPr="006331EC">
        <w:t xml:space="preserve">include the </w:t>
      </w:r>
      <w:r w:rsidR="007F1AD5" w:rsidRPr="006331EC">
        <w:t xml:space="preserve">reasons </w:t>
      </w:r>
      <w:r w:rsidR="00CC30E8" w:rsidRPr="006331EC">
        <w:t>why the application was denied</w:t>
      </w:r>
      <w:r w:rsidR="00852C6A">
        <w:t>.</w:t>
      </w:r>
    </w:p>
    <w:p w14:paraId="55E300D2" w14:textId="77777777" w:rsidR="004178D6" w:rsidRDefault="004178D6" w:rsidP="003A602A">
      <w:pPr>
        <w:keepLines/>
        <w:tabs>
          <w:tab w:val="left" w:pos="-720"/>
        </w:tabs>
        <w:ind w:left="720" w:hanging="720"/>
        <w:rPr>
          <w:b/>
        </w:rPr>
      </w:pPr>
    </w:p>
    <w:p w14:paraId="29C295DE" w14:textId="77777777" w:rsidR="00050DD5" w:rsidRDefault="00050DD5" w:rsidP="003A602A">
      <w:pPr>
        <w:keepLines/>
        <w:tabs>
          <w:tab w:val="left" w:pos="-720"/>
        </w:tabs>
        <w:ind w:left="720" w:hanging="720"/>
        <w:rPr>
          <w:b/>
        </w:rPr>
      </w:pPr>
    </w:p>
    <w:p w14:paraId="28FC1CE0" w14:textId="77777777" w:rsidR="00050DD5" w:rsidRDefault="00050DD5" w:rsidP="003A602A">
      <w:pPr>
        <w:keepLines/>
        <w:tabs>
          <w:tab w:val="left" w:pos="-720"/>
        </w:tabs>
        <w:ind w:left="720" w:hanging="720"/>
        <w:rPr>
          <w:b/>
        </w:rPr>
      </w:pPr>
    </w:p>
    <w:p w14:paraId="6AEC7754" w14:textId="77777777" w:rsidR="00050DD5" w:rsidRDefault="00050DD5" w:rsidP="003A602A">
      <w:pPr>
        <w:keepLines/>
        <w:tabs>
          <w:tab w:val="left" w:pos="-720"/>
        </w:tabs>
        <w:ind w:left="720" w:hanging="720"/>
        <w:rPr>
          <w:b/>
        </w:rPr>
      </w:pPr>
    </w:p>
    <w:p w14:paraId="0CAAD1AF" w14:textId="77777777" w:rsidR="00050DD5" w:rsidRPr="006331EC" w:rsidRDefault="00050DD5" w:rsidP="003A602A">
      <w:pPr>
        <w:keepLines/>
        <w:tabs>
          <w:tab w:val="left" w:pos="-720"/>
        </w:tabs>
        <w:ind w:left="720" w:hanging="720"/>
        <w:rPr>
          <w:b/>
        </w:rPr>
      </w:pPr>
    </w:p>
    <w:p w14:paraId="572FE23C" w14:textId="24F8815B" w:rsidR="007F1AD5" w:rsidRPr="006331EC" w:rsidRDefault="005156D3" w:rsidP="003A602A">
      <w:pPr>
        <w:keepLines/>
        <w:tabs>
          <w:tab w:val="left" w:pos="-720"/>
        </w:tabs>
        <w:ind w:left="720" w:hanging="720"/>
        <w:rPr>
          <w:b/>
        </w:rPr>
      </w:pPr>
      <w:r w:rsidRPr="006331EC">
        <w:rPr>
          <w:b/>
        </w:rPr>
        <w:lastRenderedPageBreak/>
        <w:t>I</w:t>
      </w:r>
      <w:r w:rsidR="007F1AD5" w:rsidRPr="006331EC">
        <w:rPr>
          <w:b/>
        </w:rPr>
        <w:t>.</w:t>
      </w:r>
      <w:r w:rsidR="007F1AD5" w:rsidRPr="006331EC">
        <w:rPr>
          <w:b/>
        </w:rPr>
        <w:tab/>
      </w:r>
      <w:r w:rsidR="007F1AD5" w:rsidRPr="006331EC">
        <w:rPr>
          <w:b/>
          <w:spacing w:val="-2"/>
        </w:rPr>
        <w:t>Requirement</w:t>
      </w:r>
      <w:r w:rsidR="004C1FC9">
        <w:rPr>
          <w:b/>
          <w:spacing w:val="-2"/>
        </w:rPr>
        <w:t>s</w:t>
      </w:r>
      <w:r w:rsidR="007F1AD5" w:rsidRPr="006331EC">
        <w:rPr>
          <w:b/>
          <w:spacing w:val="-2"/>
        </w:rPr>
        <w:t xml:space="preserve"> – Records </w:t>
      </w:r>
    </w:p>
    <w:p w14:paraId="6306F3E2" w14:textId="77777777" w:rsidR="007F1AD5" w:rsidRPr="006331EC" w:rsidRDefault="007F1AD5" w:rsidP="003A602A">
      <w:pPr>
        <w:keepLines/>
        <w:tabs>
          <w:tab w:val="left" w:pos="-720"/>
        </w:tabs>
        <w:ind w:left="720" w:hanging="720"/>
        <w:rPr>
          <w:b/>
        </w:rPr>
      </w:pPr>
    </w:p>
    <w:p w14:paraId="1CC71F03" w14:textId="1B7E2E6B" w:rsidR="007F1AD5" w:rsidRDefault="007F1AD5" w:rsidP="003A602A">
      <w:pPr>
        <w:keepLines/>
        <w:tabs>
          <w:tab w:val="left" w:pos="-720"/>
        </w:tabs>
        <w:ind w:left="720"/>
      </w:pPr>
      <w:r w:rsidRPr="006331EC">
        <w:t>All owners or operators subject to this rule shall maintain records that are required by the District to verify compliance. The required records shall be specified in the Authority to Construct and Permit to Operate.</w:t>
      </w:r>
      <w:r w:rsidR="00852C6A">
        <w:t xml:space="preserve"> </w:t>
      </w:r>
      <w:r w:rsidR="00D77FBA">
        <w:t>Such records shall be retained for a period of 3 years from the date of entry.</w:t>
      </w:r>
    </w:p>
    <w:p w14:paraId="103AE1B2" w14:textId="77777777" w:rsidR="00050DD5" w:rsidRPr="006331EC" w:rsidRDefault="00050DD5" w:rsidP="003A602A">
      <w:pPr>
        <w:keepLines/>
        <w:tabs>
          <w:tab w:val="left" w:pos="-720"/>
        </w:tabs>
        <w:ind w:left="720"/>
      </w:pPr>
    </w:p>
    <w:p w14:paraId="20D2AE4D" w14:textId="6C8735A1" w:rsidR="007F1AD5" w:rsidRPr="006331EC" w:rsidRDefault="005156D3" w:rsidP="003A602A">
      <w:pPr>
        <w:ind w:left="720" w:hanging="720"/>
        <w:rPr>
          <w:b/>
        </w:rPr>
      </w:pPr>
      <w:r w:rsidRPr="006331EC">
        <w:rPr>
          <w:b/>
        </w:rPr>
        <w:t>J</w:t>
      </w:r>
      <w:r w:rsidR="007F1AD5" w:rsidRPr="006331EC">
        <w:rPr>
          <w:b/>
        </w:rPr>
        <w:t>.</w:t>
      </w:r>
      <w:r w:rsidR="007F1AD5" w:rsidRPr="006331EC">
        <w:rPr>
          <w:b/>
        </w:rPr>
        <w:tab/>
        <w:t>Requirement</w:t>
      </w:r>
      <w:r w:rsidR="004C1FC9">
        <w:rPr>
          <w:b/>
        </w:rPr>
        <w:t>s</w:t>
      </w:r>
      <w:r w:rsidR="007F1AD5" w:rsidRPr="006331EC">
        <w:rPr>
          <w:b/>
        </w:rPr>
        <w:t xml:space="preserve"> – Compliance with All Regulatory Requirements </w:t>
      </w:r>
    </w:p>
    <w:p w14:paraId="4D759517" w14:textId="77777777" w:rsidR="007F1AD5" w:rsidRPr="006331EC" w:rsidRDefault="007F1AD5" w:rsidP="003A602A">
      <w:pPr>
        <w:ind w:left="720" w:hanging="720"/>
      </w:pPr>
    </w:p>
    <w:p w14:paraId="32E57A62" w14:textId="42E2363F" w:rsidR="007F1AD5" w:rsidRPr="006331EC" w:rsidRDefault="007F1AD5" w:rsidP="003A602A">
      <w:pPr>
        <w:ind w:left="720" w:hanging="720"/>
      </w:pPr>
      <w:r w:rsidRPr="006331EC">
        <w:tab/>
        <w:t xml:space="preserve">Issuance of any Authority to Construct or Permit to Operate under this rule does not relieve the </w:t>
      </w:r>
      <w:r w:rsidR="00801611" w:rsidRPr="006331EC">
        <w:t>applicant</w:t>
      </w:r>
      <w:r w:rsidRPr="006331EC">
        <w:t xml:space="preserve"> from complying with any applicable local, state or federal regulation.</w:t>
      </w:r>
    </w:p>
    <w:p w14:paraId="2E8CE3B2" w14:textId="77777777" w:rsidR="00A854D8" w:rsidRDefault="00A854D8" w:rsidP="003A602A">
      <w:pPr>
        <w:ind w:left="720" w:hanging="720"/>
      </w:pPr>
    </w:p>
    <w:p w14:paraId="606195F7" w14:textId="6D7B2AE3" w:rsidR="004C7B24" w:rsidRDefault="004C7B24" w:rsidP="003A602A">
      <w:pPr>
        <w:ind w:left="720"/>
      </w:pPr>
      <w:r w:rsidRPr="00FD2CEC">
        <w:t xml:space="preserve">If an existing previously permitted stationary source will become a major stationary source solely due to a relaxation of a permit limitation on the capacity of the stationary source to emit an air contaminant, such as a limit on emissions, hours of operation, process rates or fuel use, the stationary source shall be considered a new major stationary source and the requirements of Rule </w:t>
      </w:r>
      <w:r>
        <w:t>810</w:t>
      </w:r>
      <w:r w:rsidR="00AF66E2">
        <w:t xml:space="preserve">, Federal Prevention of Significant Deterioration (PSD), </w:t>
      </w:r>
      <w:r w:rsidRPr="00FD2CEC">
        <w:t>shall apply as if construction of the stationary source had not yet commenced.</w:t>
      </w:r>
    </w:p>
    <w:p w14:paraId="1AC31055" w14:textId="77777777" w:rsidR="004C7B24" w:rsidRPr="006331EC" w:rsidRDefault="004C7B24" w:rsidP="003A602A">
      <w:pPr>
        <w:ind w:left="720" w:hanging="720"/>
      </w:pPr>
    </w:p>
    <w:p w14:paraId="38D893EC" w14:textId="044225FB" w:rsidR="00312DCC" w:rsidRPr="006331EC" w:rsidRDefault="005156D3" w:rsidP="003A602A">
      <w:pPr>
        <w:ind w:left="720" w:hanging="720"/>
        <w:rPr>
          <w:b/>
        </w:rPr>
      </w:pPr>
      <w:r w:rsidRPr="006331EC">
        <w:rPr>
          <w:b/>
        </w:rPr>
        <w:t>K</w:t>
      </w:r>
      <w:r w:rsidR="00312DCC" w:rsidRPr="006331EC">
        <w:rPr>
          <w:b/>
        </w:rPr>
        <w:t>.</w:t>
      </w:r>
      <w:r w:rsidR="00312DCC" w:rsidRPr="006331EC">
        <w:rPr>
          <w:b/>
        </w:rPr>
        <w:tab/>
        <w:t xml:space="preserve">Expiration </w:t>
      </w:r>
      <w:r w:rsidR="00297664" w:rsidRPr="006331EC">
        <w:rPr>
          <w:b/>
          <w:bCs/>
        </w:rPr>
        <w:t>of Authority to Construct</w:t>
      </w:r>
    </w:p>
    <w:p w14:paraId="548EDFAA" w14:textId="77777777" w:rsidR="00312DCC" w:rsidRPr="006331EC" w:rsidRDefault="00312DCC" w:rsidP="003A602A">
      <w:pPr>
        <w:ind w:left="720" w:hanging="720"/>
      </w:pPr>
    </w:p>
    <w:p w14:paraId="65A9F146" w14:textId="4ACAB75D" w:rsidR="00312DCC" w:rsidRPr="006331EC" w:rsidRDefault="00312DCC" w:rsidP="003A602A">
      <w:pPr>
        <w:ind w:left="720" w:hanging="720"/>
      </w:pPr>
      <w:r w:rsidRPr="006331EC">
        <w:tab/>
        <w:t>If unused, an Authority to Construct shall automatically expire one y</w:t>
      </w:r>
      <w:r w:rsidR="00852C6A">
        <w:t>ear from the date of issuance.</w:t>
      </w:r>
    </w:p>
    <w:p w14:paraId="050695A2" w14:textId="77777777" w:rsidR="00AA6A5E" w:rsidRPr="006331EC" w:rsidRDefault="00AA6A5E" w:rsidP="003A602A">
      <w:pPr>
        <w:rPr>
          <w:b/>
        </w:rPr>
      </w:pPr>
    </w:p>
    <w:p w14:paraId="68A72CA2" w14:textId="77777777" w:rsidR="00AA6A5E" w:rsidRPr="006331EC" w:rsidRDefault="00AA6A5E" w:rsidP="003A602A">
      <w:pPr>
        <w:rPr>
          <w:i/>
        </w:rPr>
      </w:pPr>
    </w:p>
    <w:sectPr w:rsidR="00AA6A5E" w:rsidRPr="006331EC" w:rsidSect="009413CC">
      <w:footerReference w:type="default" r:id="rId8"/>
      <w:pgSz w:w="12240" w:h="15840" w:code="1"/>
      <w:pgMar w:top="1440" w:right="1440" w:bottom="72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BECF58" w14:textId="77777777" w:rsidR="00A52081" w:rsidRDefault="00A52081">
      <w:r>
        <w:separator/>
      </w:r>
    </w:p>
  </w:endnote>
  <w:endnote w:type="continuationSeparator" w:id="0">
    <w:p w14:paraId="4CB42AD6" w14:textId="77777777" w:rsidR="00A52081" w:rsidRDefault="00A52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2CA8E" w14:textId="77777777" w:rsidR="00346B1B" w:rsidRPr="004178D6" w:rsidRDefault="00346B1B" w:rsidP="007F71C8">
    <w:pPr>
      <w:pStyle w:val="Footer"/>
      <w:rPr>
        <w:rFonts w:ascii="Times New Roman" w:hAnsi="Times New Roman"/>
        <w:sz w:val="20"/>
      </w:rPr>
    </w:pPr>
  </w:p>
  <w:p w14:paraId="2933AB97" w14:textId="3B24FA5C" w:rsidR="00346B1B" w:rsidRDefault="00346B1B" w:rsidP="007F71C8">
    <w:pPr>
      <w:pStyle w:val="Footer"/>
      <w:tabs>
        <w:tab w:val="clear" w:pos="4320"/>
        <w:tab w:val="clear" w:pos="8640"/>
        <w:tab w:val="center" w:pos="4680"/>
        <w:tab w:val="right" w:pos="9360"/>
      </w:tabs>
      <w:rPr>
        <w:rStyle w:val="PageNumber"/>
        <w:rFonts w:ascii="Times New Roman" w:hAnsi="Times New Roman"/>
        <w:sz w:val="20"/>
      </w:rPr>
    </w:pPr>
    <w:r>
      <w:rPr>
        <w:rFonts w:ascii="Times New Roman" w:hAnsi="Times New Roman"/>
        <w:sz w:val="20"/>
      </w:rPr>
      <w:t xml:space="preserve">Santa Barbara County APCD Rule </w:t>
    </w:r>
    <w:r w:rsidR="007F71C8">
      <w:rPr>
        <w:rFonts w:ascii="Times New Roman" w:hAnsi="Times New Roman"/>
        <w:sz w:val="20"/>
      </w:rPr>
      <w:t>809</w:t>
    </w:r>
    <w:r w:rsidRPr="009F2AF2">
      <w:rPr>
        <w:rFonts w:ascii="Times New Roman" w:hAnsi="Times New Roman"/>
        <w:sz w:val="20"/>
      </w:rPr>
      <w:tab/>
    </w:r>
    <w:r w:rsidR="007F71C8">
      <w:rPr>
        <w:rFonts w:ascii="Times New Roman" w:hAnsi="Times New Roman"/>
        <w:sz w:val="20"/>
      </w:rPr>
      <w:t>809</w:t>
    </w:r>
    <w:r w:rsidRPr="009F2AF2">
      <w:rPr>
        <w:rFonts w:ascii="Times New Roman" w:hAnsi="Times New Roman"/>
        <w:sz w:val="20"/>
      </w:rPr>
      <w:t xml:space="preserve"> - </w:t>
    </w:r>
    <w:r w:rsidRPr="009F2AF2">
      <w:rPr>
        <w:rStyle w:val="PageNumber"/>
        <w:rFonts w:ascii="Times New Roman" w:hAnsi="Times New Roman"/>
        <w:sz w:val="20"/>
      </w:rPr>
      <w:fldChar w:fldCharType="begin"/>
    </w:r>
    <w:r w:rsidRPr="009F2AF2">
      <w:rPr>
        <w:rStyle w:val="PageNumber"/>
        <w:rFonts w:ascii="Times New Roman" w:hAnsi="Times New Roman"/>
        <w:sz w:val="20"/>
      </w:rPr>
      <w:instrText xml:space="preserve"> PAGE </w:instrText>
    </w:r>
    <w:r w:rsidRPr="009F2AF2">
      <w:rPr>
        <w:rStyle w:val="PageNumber"/>
        <w:rFonts w:ascii="Times New Roman" w:hAnsi="Times New Roman"/>
        <w:sz w:val="20"/>
      </w:rPr>
      <w:fldChar w:fldCharType="separate"/>
    </w:r>
    <w:r w:rsidR="002C5955">
      <w:rPr>
        <w:rStyle w:val="PageNumber"/>
        <w:rFonts w:ascii="Times New Roman" w:hAnsi="Times New Roman"/>
        <w:noProof/>
        <w:sz w:val="20"/>
      </w:rPr>
      <w:t>4</w:t>
    </w:r>
    <w:r w:rsidRPr="009F2AF2">
      <w:rPr>
        <w:rStyle w:val="PageNumber"/>
        <w:rFonts w:ascii="Times New Roman" w:hAnsi="Times New Roman"/>
        <w:sz w:val="20"/>
      </w:rPr>
      <w:fldChar w:fldCharType="end"/>
    </w:r>
    <w:r w:rsidRPr="009F2AF2">
      <w:rPr>
        <w:rStyle w:val="PageNumber"/>
        <w:rFonts w:ascii="Times New Roman" w:hAnsi="Times New Roman"/>
        <w:sz w:val="20"/>
      </w:rPr>
      <w:tab/>
    </w:r>
    <w:r w:rsidR="002C5955">
      <w:rPr>
        <w:rStyle w:val="PageNumber"/>
        <w:rFonts w:ascii="Times New Roman" w:hAnsi="Times New Roman"/>
        <w:sz w:val="20"/>
      </w:rPr>
      <w:t>August 25, 2016</w:t>
    </w:r>
  </w:p>
  <w:p w14:paraId="3E4A9BB8" w14:textId="77777777" w:rsidR="00346B1B" w:rsidRPr="009F2AF2" w:rsidRDefault="00346B1B" w:rsidP="007F71C8">
    <w:pPr>
      <w:pStyle w:val="Footer"/>
      <w:tabs>
        <w:tab w:val="clear" w:pos="4320"/>
        <w:tab w:val="clear" w:pos="8640"/>
        <w:tab w:val="center" w:pos="4680"/>
        <w:tab w:val="right" w:pos="9360"/>
      </w:tabs>
      <w:rPr>
        <w:rFonts w:ascii="Times New Roman" w:hAnsi="Times New Roman"/>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C23D93" w14:textId="77777777" w:rsidR="00A52081" w:rsidRDefault="00A52081">
      <w:r>
        <w:separator/>
      </w:r>
    </w:p>
  </w:footnote>
  <w:footnote w:type="continuationSeparator" w:id="0">
    <w:p w14:paraId="2F2F06AD" w14:textId="77777777" w:rsidR="00A52081" w:rsidRDefault="00A520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A10CA"/>
    <w:multiLevelType w:val="singleLevel"/>
    <w:tmpl w:val="B8BCA3F2"/>
    <w:lvl w:ilvl="0">
      <w:start w:val="1"/>
      <w:numFmt w:val="decimal"/>
      <w:lvlText w:val="%1."/>
      <w:legacy w:legacy="1" w:legacySpace="0" w:legacyIndent="720"/>
      <w:lvlJc w:val="left"/>
      <w:pPr>
        <w:ind w:left="1440" w:hanging="720"/>
      </w:pPr>
    </w:lvl>
  </w:abstractNum>
  <w:abstractNum w:abstractNumId="1" w15:restartNumberingAfterBreak="0">
    <w:nsid w:val="0BA90119"/>
    <w:multiLevelType w:val="hybridMultilevel"/>
    <w:tmpl w:val="730288AE"/>
    <w:lvl w:ilvl="0" w:tplc="04090011">
      <w:start w:val="1"/>
      <w:numFmt w:val="decimal"/>
      <w:lvlText w:val="%1)"/>
      <w:lvlJc w:val="left"/>
      <w:pPr>
        <w:ind w:left="360" w:hanging="360"/>
      </w:pPr>
      <w:rPr>
        <w:rFonts w:hint="default"/>
      </w:rPr>
    </w:lvl>
    <w:lvl w:ilvl="1" w:tplc="04090001">
      <w:start w:val="1"/>
      <w:numFmt w:val="bullet"/>
      <w:lvlText w:val=""/>
      <w:lvlJc w:val="left"/>
      <w:pPr>
        <w:ind w:left="810" w:hanging="360"/>
      </w:pPr>
      <w:rPr>
        <w:rFonts w:ascii="Symbol" w:hAnsi="Symbol" w:hint="default"/>
      </w:rPr>
    </w:lvl>
    <w:lvl w:ilvl="2" w:tplc="0409001B">
      <w:start w:val="1"/>
      <w:numFmt w:val="lowerRoman"/>
      <w:lvlText w:val="%3."/>
      <w:lvlJc w:val="right"/>
      <w:pPr>
        <w:ind w:left="1170" w:hanging="180"/>
      </w:pPr>
    </w:lvl>
    <w:lvl w:ilvl="3" w:tplc="0409000F">
      <w:start w:val="1"/>
      <w:numFmt w:val="decimal"/>
      <w:lvlText w:val="%4."/>
      <w:lvlJc w:val="left"/>
      <w:pPr>
        <w:ind w:left="16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01C2D1F"/>
    <w:multiLevelType w:val="singleLevel"/>
    <w:tmpl w:val="8F1473B4"/>
    <w:lvl w:ilvl="0">
      <w:start w:val="1"/>
      <w:numFmt w:val="lowerLetter"/>
      <w:lvlText w:val="%1."/>
      <w:legacy w:legacy="1" w:legacySpace="0" w:legacyIndent="720"/>
      <w:lvlJc w:val="left"/>
      <w:pPr>
        <w:ind w:left="2160" w:hanging="720"/>
      </w:pPr>
    </w:lvl>
  </w:abstractNum>
  <w:abstractNum w:abstractNumId="3" w15:restartNumberingAfterBreak="0">
    <w:nsid w:val="1D770EE7"/>
    <w:multiLevelType w:val="singleLevel"/>
    <w:tmpl w:val="B8BCA3F2"/>
    <w:lvl w:ilvl="0">
      <w:start w:val="1"/>
      <w:numFmt w:val="decimal"/>
      <w:lvlText w:val="%1."/>
      <w:legacy w:legacy="1" w:legacySpace="0" w:legacyIndent="720"/>
      <w:lvlJc w:val="left"/>
      <w:pPr>
        <w:ind w:left="1440" w:hanging="720"/>
      </w:pPr>
    </w:lvl>
  </w:abstractNum>
  <w:abstractNum w:abstractNumId="4" w15:restartNumberingAfterBreak="0">
    <w:nsid w:val="25666CB8"/>
    <w:multiLevelType w:val="singleLevel"/>
    <w:tmpl w:val="CFD6E93A"/>
    <w:lvl w:ilvl="0">
      <w:start w:val="1"/>
      <w:numFmt w:val="upperLetter"/>
      <w:lvlText w:val="%1. "/>
      <w:lvlJc w:val="left"/>
      <w:pPr>
        <w:tabs>
          <w:tab w:val="num" w:pos="720"/>
        </w:tabs>
        <w:ind w:left="720" w:hanging="720"/>
      </w:pPr>
      <w:rPr>
        <w:rFonts w:ascii="CG Times" w:hAnsi="CG Times" w:hint="default"/>
        <w:b/>
        <w:i w:val="0"/>
        <w:sz w:val="20"/>
        <w:u w:val="none"/>
      </w:rPr>
    </w:lvl>
  </w:abstractNum>
  <w:abstractNum w:abstractNumId="5" w15:restartNumberingAfterBreak="0">
    <w:nsid w:val="2F963B27"/>
    <w:multiLevelType w:val="singleLevel"/>
    <w:tmpl w:val="00FE61E8"/>
    <w:lvl w:ilvl="0">
      <w:start w:val="1"/>
      <w:numFmt w:val="decimal"/>
      <w:lvlText w:val="%1)"/>
      <w:legacy w:legacy="1" w:legacySpace="0" w:legacyIndent="720"/>
      <w:lvlJc w:val="left"/>
      <w:pPr>
        <w:ind w:left="2880" w:hanging="720"/>
      </w:pPr>
    </w:lvl>
  </w:abstractNum>
  <w:abstractNum w:abstractNumId="6" w15:restartNumberingAfterBreak="0">
    <w:nsid w:val="48E82112"/>
    <w:multiLevelType w:val="singleLevel"/>
    <w:tmpl w:val="F3745022"/>
    <w:lvl w:ilvl="0">
      <w:start w:val="1"/>
      <w:numFmt w:val="lowerLetter"/>
      <w:lvlText w:val="%1)"/>
      <w:legacy w:legacy="1" w:legacySpace="0" w:legacyIndent="720"/>
      <w:lvlJc w:val="left"/>
      <w:pPr>
        <w:ind w:left="3600" w:hanging="720"/>
      </w:pPr>
    </w:lvl>
  </w:abstractNum>
  <w:abstractNum w:abstractNumId="7" w15:restartNumberingAfterBreak="0">
    <w:nsid w:val="4E9B52C4"/>
    <w:multiLevelType w:val="singleLevel"/>
    <w:tmpl w:val="44EC5FAC"/>
    <w:lvl w:ilvl="0">
      <w:start w:val="5"/>
      <w:numFmt w:val="upperLetter"/>
      <w:pStyle w:val="Heading1"/>
      <w:lvlText w:val="%1. "/>
      <w:lvlJc w:val="left"/>
      <w:pPr>
        <w:tabs>
          <w:tab w:val="num" w:pos="720"/>
        </w:tabs>
        <w:ind w:left="720" w:hanging="720"/>
      </w:pPr>
      <w:rPr>
        <w:rFonts w:ascii="CG Times" w:hAnsi="CG Times" w:hint="default"/>
        <w:b/>
        <w:i w:val="0"/>
        <w:sz w:val="20"/>
        <w:u w:val="none"/>
      </w:rPr>
    </w:lvl>
  </w:abstractNum>
  <w:abstractNum w:abstractNumId="8" w15:restartNumberingAfterBreak="0">
    <w:nsid w:val="50521AE3"/>
    <w:multiLevelType w:val="singleLevel"/>
    <w:tmpl w:val="37A63DE0"/>
    <w:lvl w:ilvl="0">
      <w:start w:val="4"/>
      <w:numFmt w:val="upperLetter"/>
      <w:lvlText w:val="%1."/>
      <w:legacy w:legacy="1" w:legacySpace="0" w:legacyIndent="720"/>
      <w:lvlJc w:val="left"/>
      <w:pPr>
        <w:ind w:left="720" w:hanging="720"/>
      </w:pPr>
    </w:lvl>
  </w:abstractNum>
  <w:num w:numId="1">
    <w:abstractNumId w:val="4"/>
  </w:num>
  <w:num w:numId="2">
    <w:abstractNumId w:val="3"/>
  </w:num>
  <w:num w:numId="3">
    <w:abstractNumId w:val="2"/>
  </w:num>
  <w:num w:numId="4">
    <w:abstractNumId w:val="5"/>
  </w:num>
  <w:num w:numId="5">
    <w:abstractNumId w:val="6"/>
  </w:num>
  <w:num w:numId="6">
    <w:abstractNumId w:val="8"/>
  </w:num>
  <w:num w:numId="7">
    <w:abstractNumId w:val="0"/>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AF2"/>
    <w:rsid w:val="00015962"/>
    <w:rsid w:val="0002172F"/>
    <w:rsid w:val="00030E5F"/>
    <w:rsid w:val="00031D81"/>
    <w:rsid w:val="000352B1"/>
    <w:rsid w:val="00050DD5"/>
    <w:rsid w:val="00055D5D"/>
    <w:rsid w:val="000654A7"/>
    <w:rsid w:val="00074207"/>
    <w:rsid w:val="00082B13"/>
    <w:rsid w:val="000864B8"/>
    <w:rsid w:val="000904D5"/>
    <w:rsid w:val="00091155"/>
    <w:rsid w:val="00094A2C"/>
    <w:rsid w:val="000C166A"/>
    <w:rsid w:val="000C693C"/>
    <w:rsid w:val="000D6644"/>
    <w:rsid w:val="000F5B6C"/>
    <w:rsid w:val="0010661A"/>
    <w:rsid w:val="001131F6"/>
    <w:rsid w:val="00115189"/>
    <w:rsid w:val="001207F7"/>
    <w:rsid w:val="0012538B"/>
    <w:rsid w:val="0015728A"/>
    <w:rsid w:val="00162CBD"/>
    <w:rsid w:val="00182DD3"/>
    <w:rsid w:val="001946A2"/>
    <w:rsid w:val="001A2B63"/>
    <w:rsid w:val="001C6AC1"/>
    <w:rsid w:val="001C6E48"/>
    <w:rsid w:val="001D4B8D"/>
    <w:rsid w:val="001E3153"/>
    <w:rsid w:val="001E445C"/>
    <w:rsid w:val="001F2A52"/>
    <w:rsid w:val="001F5927"/>
    <w:rsid w:val="0021311E"/>
    <w:rsid w:val="00227D1E"/>
    <w:rsid w:val="0023133F"/>
    <w:rsid w:val="0024086A"/>
    <w:rsid w:val="002413EA"/>
    <w:rsid w:val="00251E02"/>
    <w:rsid w:val="00257252"/>
    <w:rsid w:val="00274659"/>
    <w:rsid w:val="0028163B"/>
    <w:rsid w:val="0028258B"/>
    <w:rsid w:val="002940C5"/>
    <w:rsid w:val="00297664"/>
    <w:rsid w:val="002A4F12"/>
    <w:rsid w:val="002A6F6D"/>
    <w:rsid w:val="002B34CD"/>
    <w:rsid w:val="002B5390"/>
    <w:rsid w:val="002C4EBD"/>
    <w:rsid w:val="002C5955"/>
    <w:rsid w:val="002D10CD"/>
    <w:rsid w:val="002E32C6"/>
    <w:rsid w:val="00300941"/>
    <w:rsid w:val="003128DB"/>
    <w:rsid w:val="00312DCC"/>
    <w:rsid w:val="0031332C"/>
    <w:rsid w:val="0031761D"/>
    <w:rsid w:val="003314C2"/>
    <w:rsid w:val="0033206B"/>
    <w:rsid w:val="00335A9F"/>
    <w:rsid w:val="00346B1B"/>
    <w:rsid w:val="003525F0"/>
    <w:rsid w:val="003613CC"/>
    <w:rsid w:val="00390FF2"/>
    <w:rsid w:val="003A3386"/>
    <w:rsid w:val="003A602A"/>
    <w:rsid w:val="003A7FF3"/>
    <w:rsid w:val="003B019F"/>
    <w:rsid w:val="003D43B1"/>
    <w:rsid w:val="003D5776"/>
    <w:rsid w:val="003E5990"/>
    <w:rsid w:val="003F0924"/>
    <w:rsid w:val="003F1285"/>
    <w:rsid w:val="003F3052"/>
    <w:rsid w:val="003F4442"/>
    <w:rsid w:val="004021FA"/>
    <w:rsid w:val="004159F2"/>
    <w:rsid w:val="004178D6"/>
    <w:rsid w:val="0042184E"/>
    <w:rsid w:val="004248E9"/>
    <w:rsid w:val="004551EC"/>
    <w:rsid w:val="00457D3C"/>
    <w:rsid w:val="00477E63"/>
    <w:rsid w:val="004804D7"/>
    <w:rsid w:val="0048637C"/>
    <w:rsid w:val="004A51C6"/>
    <w:rsid w:val="004A7887"/>
    <w:rsid w:val="004B112C"/>
    <w:rsid w:val="004B19C5"/>
    <w:rsid w:val="004C1FC9"/>
    <w:rsid w:val="004C7B24"/>
    <w:rsid w:val="00505404"/>
    <w:rsid w:val="00506157"/>
    <w:rsid w:val="00513C4A"/>
    <w:rsid w:val="00514597"/>
    <w:rsid w:val="005156D3"/>
    <w:rsid w:val="00551E15"/>
    <w:rsid w:val="00557DF4"/>
    <w:rsid w:val="0056606A"/>
    <w:rsid w:val="00573DEC"/>
    <w:rsid w:val="00574941"/>
    <w:rsid w:val="005771FB"/>
    <w:rsid w:val="005968D6"/>
    <w:rsid w:val="005D2685"/>
    <w:rsid w:val="005D4784"/>
    <w:rsid w:val="005E1E71"/>
    <w:rsid w:val="005F2125"/>
    <w:rsid w:val="005F3681"/>
    <w:rsid w:val="005F7165"/>
    <w:rsid w:val="005F7ED0"/>
    <w:rsid w:val="00604C78"/>
    <w:rsid w:val="00625153"/>
    <w:rsid w:val="006304CF"/>
    <w:rsid w:val="00632134"/>
    <w:rsid w:val="006331EC"/>
    <w:rsid w:val="0063778D"/>
    <w:rsid w:val="0064283C"/>
    <w:rsid w:val="00642E15"/>
    <w:rsid w:val="00644B6D"/>
    <w:rsid w:val="00646F5B"/>
    <w:rsid w:val="0065515F"/>
    <w:rsid w:val="006562B1"/>
    <w:rsid w:val="00657324"/>
    <w:rsid w:val="0068735D"/>
    <w:rsid w:val="00692400"/>
    <w:rsid w:val="006975AD"/>
    <w:rsid w:val="00697DD2"/>
    <w:rsid w:val="006A3828"/>
    <w:rsid w:val="006A4556"/>
    <w:rsid w:val="006B0D0E"/>
    <w:rsid w:val="006B513F"/>
    <w:rsid w:val="006B598A"/>
    <w:rsid w:val="006C2CCE"/>
    <w:rsid w:val="006D16ED"/>
    <w:rsid w:val="006D46B4"/>
    <w:rsid w:val="006E719F"/>
    <w:rsid w:val="006F266F"/>
    <w:rsid w:val="00724FA4"/>
    <w:rsid w:val="00727315"/>
    <w:rsid w:val="00761023"/>
    <w:rsid w:val="00765F19"/>
    <w:rsid w:val="00793D67"/>
    <w:rsid w:val="007959E3"/>
    <w:rsid w:val="007A0896"/>
    <w:rsid w:val="007A3078"/>
    <w:rsid w:val="007F14F0"/>
    <w:rsid w:val="007F1AD5"/>
    <w:rsid w:val="007F4257"/>
    <w:rsid w:val="007F71C8"/>
    <w:rsid w:val="00800006"/>
    <w:rsid w:val="00801611"/>
    <w:rsid w:val="00806829"/>
    <w:rsid w:val="00815265"/>
    <w:rsid w:val="00824FCB"/>
    <w:rsid w:val="00831A98"/>
    <w:rsid w:val="008349FD"/>
    <w:rsid w:val="00837519"/>
    <w:rsid w:val="00842A67"/>
    <w:rsid w:val="00850328"/>
    <w:rsid w:val="00852C6A"/>
    <w:rsid w:val="00855073"/>
    <w:rsid w:val="00866E36"/>
    <w:rsid w:val="00871538"/>
    <w:rsid w:val="00872A52"/>
    <w:rsid w:val="00892F8B"/>
    <w:rsid w:val="00894D65"/>
    <w:rsid w:val="008974C6"/>
    <w:rsid w:val="008B04FB"/>
    <w:rsid w:val="008C2EEF"/>
    <w:rsid w:val="008D0394"/>
    <w:rsid w:val="008D4B58"/>
    <w:rsid w:val="008F3B69"/>
    <w:rsid w:val="008F47EB"/>
    <w:rsid w:val="008F62A5"/>
    <w:rsid w:val="009273C1"/>
    <w:rsid w:val="00927927"/>
    <w:rsid w:val="009413CC"/>
    <w:rsid w:val="009565DF"/>
    <w:rsid w:val="00957B91"/>
    <w:rsid w:val="0098316D"/>
    <w:rsid w:val="009A52AF"/>
    <w:rsid w:val="009C15D9"/>
    <w:rsid w:val="009E342F"/>
    <w:rsid w:val="009E3579"/>
    <w:rsid w:val="009E441D"/>
    <w:rsid w:val="009F2AF2"/>
    <w:rsid w:val="009F51D6"/>
    <w:rsid w:val="00A00435"/>
    <w:rsid w:val="00A019C7"/>
    <w:rsid w:val="00A1199D"/>
    <w:rsid w:val="00A21670"/>
    <w:rsid w:val="00A227DB"/>
    <w:rsid w:val="00A231A7"/>
    <w:rsid w:val="00A25060"/>
    <w:rsid w:val="00A3032E"/>
    <w:rsid w:val="00A36544"/>
    <w:rsid w:val="00A41B95"/>
    <w:rsid w:val="00A51133"/>
    <w:rsid w:val="00A52081"/>
    <w:rsid w:val="00A54F3A"/>
    <w:rsid w:val="00A715C7"/>
    <w:rsid w:val="00A80527"/>
    <w:rsid w:val="00A854D8"/>
    <w:rsid w:val="00AA10B0"/>
    <w:rsid w:val="00AA6A5E"/>
    <w:rsid w:val="00AC1FCA"/>
    <w:rsid w:val="00AC4F41"/>
    <w:rsid w:val="00AC5C81"/>
    <w:rsid w:val="00AD4371"/>
    <w:rsid w:val="00AF66E2"/>
    <w:rsid w:val="00B13092"/>
    <w:rsid w:val="00B40D37"/>
    <w:rsid w:val="00B40D78"/>
    <w:rsid w:val="00B45459"/>
    <w:rsid w:val="00B711FA"/>
    <w:rsid w:val="00BD47B6"/>
    <w:rsid w:val="00BE4FD8"/>
    <w:rsid w:val="00BF1E1D"/>
    <w:rsid w:val="00BF27ED"/>
    <w:rsid w:val="00C06D67"/>
    <w:rsid w:val="00C10BF6"/>
    <w:rsid w:val="00C17703"/>
    <w:rsid w:val="00C2009E"/>
    <w:rsid w:val="00C30978"/>
    <w:rsid w:val="00C34C56"/>
    <w:rsid w:val="00C60AEB"/>
    <w:rsid w:val="00C66D30"/>
    <w:rsid w:val="00C70DAB"/>
    <w:rsid w:val="00C77952"/>
    <w:rsid w:val="00C8160A"/>
    <w:rsid w:val="00C8353D"/>
    <w:rsid w:val="00C8728A"/>
    <w:rsid w:val="00CA0DA7"/>
    <w:rsid w:val="00CB03C7"/>
    <w:rsid w:val="00CB0431"/>
    <w:rsid w:val="00CB2FCA"/>
    <w:rsid w:val="00CB48D7"/>
    <w:rsid w:val="00CB53A7"/>
    <w:rsid w:val="00CC30E8"/>
    <w:rsid w:val="00CD157A"/>
    <w:rsid w:val="00CD51C8"/>
    <w:rsid w:val="00CF27A5"/>
    <w:rsid w:val="00CF48F6"/>
    <w:rsid w:val="00D04415"/>
    <w:rsid w:val="00D12C3D"/>
    <w:rsid w:val="00D17F5B"/>
    <w:rsid w:val="00D26E42"/>
    <w:rsid w:val="00D358EB"/>
    <w:rsid w:val="00D47FCD"/>
    <w:rsid w:val="00D50517"/>
    <w:rsid w:val="00D53A01"/>
    <w:rsid w:val="00D544EF"/>
    <w:rsid w:val="00D63908"/>
    <w:rsid w:val="00D77FBA"/>
    <w:rsid w:val="00D82E49"/>
    <w:rsid w:val="00DA4B47"/>
    <w:rsid w:val="00DC6168"/>
    <w:rsid w:val="00DC7995"/>
    <w:rsid w:val="00DD20E7"/>
    <w:rsid w:val="00DD69E9"/>
    <w:rsid w:val="00DF6271"/>
    <w:rsid w:val="00DF7D3A"/>
    <w:rsid w:val="00E01C8E"/>
    <w:rsid w:val="00E07D5E"/>
    <w:rsid w:val="00E22879"/>
    <w:rsid w:val="00E405A1"/>
    <w:rsid w:val="00E52012"/>
    <w:rsid w:val="00E53113"/>
    <w:rsid w:val="00E551CF"/>
    <w:rsid w:val="00E63B31"/>
    <w:rsid w:val="00E647BB"/>
    <w:rsid w:val="00E66CDC"/>
    <w:rsid w:val="00E81E19"/>
    <w:rsid w:val="00E83FF6"/>
    <w:rsid w:val="00E85F69"/>
    <w:rsid w:val="00E94141"/>
    <w:rsid w:val="00EA2C08"/>
    <w:rsid w:val="00EB0BC8"/>
    <w:rsid w:val="00EB624F"/>
    <w:rsid w:val="00EC6967"/>
    <w:rsid w:val="00EE0623"/>
    <w:rsid w:val="00EE3596"/>
    <w:rsid w:val="00EF6DFE"/>
    <w:rsid w:val="00F0002C"/>
    <w:rsid w:val="00F10597"/>
    <w:rsid w:val="00F374F2"/>
    <w:rsid w:val="00F447E0"/>
    <w:rsid w:val="00F53A8B"/>
    <w:rsid w:val="00F54D40"/>
    <w:rsid w:val="00F67D0F"/>
    <w:rsid w:val="00F77E9A"/>
    <w:rsid w:val="00F808D5"/>
    <w:rsid w:val="00F8519A"/>
    <w:rsid w:val="00FA7A6B"/>
    <w:rsid w:val="00FD2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1491DFA"/>
  <w15:chartTrackingRefBased/>
  <w15:docId w15:val="{8ACE67DA-E567-452D-943B-10A5DC61C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numPr>
        <w:numId w:val="8"/>
      </w:numPr>
      <w:tabs>
        <w:tab w:val="left" w:pos="-1440"/>
        <w:tab w:val="left" w:pos="-720"/>
        <w:tab w:val="left" w:pos="0"/>
        <w:tab w:val="left" w:pos="821"/>
        <w:tab w:val="left" w:pos="1440"/>
      </w:tabs>
      <w:suppressAutoHyphens/>
      <w:outlineLvl w:val="0"/>
    </w:pPr>
    <w:rPr>
      <w:rFonts w:ascii="CG Times" w:hAnsi="CG Time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320"/>
        <w:tab w:val="right" w:pos="8640"/>
      </w:tabs>
    </w:pPr>
    <w:rPr>
      <w:rFonts w:ascii="Courier New" w:hAnsi="Courier New"/>
      <w:sz w:val="24"/>
    </w:rPr>
  </w:style>
  <w:style w:type="paragraph" w:styleId="Title">
    <w:name w:val="Title"/>
    <w:basedOn w:val="Normal"/>
    <w:qFormat/>
    <w:pPr>
      <w:tabs>
        <w:tab w:val="left" w:pos="-720"/>
      </w:tabs>
      <w:jc w:val="center"/>
    </w:pPr>
    <w:rPr>
      <w:b/>
      <w:sz w:val="28"/>
    </w:rPr>
  </w:style>
  <w:style w:type="paragraph" w:styleId="Header">
    <w:name w:val="header"/>
    <w:basedOn w:val="Normal"/>
    <w:rsid w:val="009F2AF2"/>
    <w:pPr>
      <w:tabs>
        <w:tab w:val="center" w:pos="4320"/>
        <w:tab w:val="right" w:pos="8640"/>
      </w:tabs>
    </w:pPr>
  </w:style>
  <w:style w:type="character" w:styleId="CommentReference">
    <w:name w:val="annotation reference"/>
    <w:basedOn w:val="DefaultParagraphFont"/>
    <w:uiPriority w:val="99"/>
    <w:rsid w:val="00C17703"/>
    <w:rPr>
      <w:sz w:val="16"/>
      <w:szCs w:val="16"/>
    </w:rPr>
  </w:style>
  <w:style w:type="paragraph" w:styleId="CommentText">
    <w:name w:val="annotation text"/>
    <w:basedOn w:val="Normal"/>
    <w:link w:val="CommentTextChar"/>
    <w:rsid w:val="00C17703"/>
  </w:style>
  <w:style w:type="character" w:customStyle="1" w:styleId="CommentTextChar">
    <w:name w:val="Comment Text Char"/>
    <w:basedOn w:val="DefaultParagraphFont"/>
    <w:link w:val="CommentText"/>
    <w:rsid w:val="00C17703"/>
  </w:style>
  <w:style w:type="paragraph" w:styleId="CommentSubject">
    <w:name w:val="annotation subject"/>
    <w:basedOn w:val="CommentText"/>
    <w:next w:val="CommentText"/>
    <w:link w:val="CommentSubjectChar"/>
    <w:rsid w:val="00C17703"/>
    <w:rPr>
      <w:b/>
      <w:bCs/>
    </w:rPr>
  </w:style>
  <w:style w:type="character" w:customStyle="1" w:styleId="CommentSubjectChar">
    <w:name w:val="Comment Subject Char"/>
    <w:basedOn w:val="CommentTextChar"/>
    <w:link w:val="CommentSubject"/>
    <w:rsid w:val="00C17703"/>
    <w:rPr>
      <w:b/>
      <w:bCs/>
    </w:rPr>
  </w:style>
  <w:style w:type="paragraph" w:styleId="BalloonText">
    <w:name w:val="Balloon Text"/>
    <w:basedOn w:val="Normal"/>
    <w:link w:val="BalloonTextChar"/>
    <w:rsid w:val="00C17703"/>
    <w:rPr>
      <w:rFonts w:ascii="Segoe UI" w:hAnsi="Segoe UI" w:cs="Segoe UI"/>
      <w:sz w:val="18"/>
      <w:szCs w:val="18"/>
    </w:rPr>
  </w:style>
  <w:style w:type="character" w:customStyle="1" w:styleId="BalloonTextChar">
    <w:name w:val="Balloon Text Char"/>
    <w:basedOn w:val="DefaultParagraphFont"/>
    <w:link w:val="BalloonText"/>
    <w:rsid w:val="00C17703"/>
    <w:rPr>
      <w:rFonts w:ascii="Segoe UI" w:hAnsi="Segoe UI" w:cs="Segoe UI"/>
      <w:sz w:val="18"/>
      <w:szCs w:val="18"/>
    </w:rPr>
  </w:style>
  <w:style w:type="paragraph" w:styleId="Revision">
    <w:name w:val="Revision"/>
    <w:hidden/>
    <w:uiPriority w:val="99"/>
    <w:semiHidden/>
    <w:rsid w:val="00573DEC"/>
  </w:style>
  <w:style w:type="paragraph" w:styleId="ListParagraph">
    <w:name w:val="List Paragraph"/>
    <w:basedOn w:val="Normal"/>
    <w:uiPriority w:val="34"/>
    <w:qFormat/>
    <w:rsid w:val="00A25060"/>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81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2A3F6-ED67-4A38-ABD8-ACE0014AF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4</Pages>
  <Words>1753</Words>
  <Characters>9472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Rule 809</vt:lpstr>
    </vt:vector>
  </TitlesOfParts>
  <Company>APCD Santa Barbara County</Company>
  <LinksUpToDate>false</LinksUpToDate>
  <CharactersWithSpaces>11203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 809</dc:title>
  <dc:subject/>
  <dc:creator>Michael Goldman - SBCAPCD</dc:creator>
  <cp:keywords/>
  <cp:lastModifiedBy>Timothy J. Mitro</cp:lastModifiedBy>
  <cp:revision>45</cp:revision>
  <cp:lastPrinted>2014-08-25T21:08:00Z</cp:lastPrinted>
  <dcterms:created xsi:type="dcterms:W3CDTF">2015-01-07T20:58:00Z</dcterms:created>
  <dcterms:modified xsi:type="dcterms:W3CDTF">2016-07-18T17:47:00Z</dcterms:modified>
</cp:coreProperties>
</file>