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81551A" w14:textId="0477619A" w:rsidR="0032381B" w:rsidRDefault="00AB6D88" w:rsidP="000F013A">
      <w:pPr>
        <w:ind w:left="1440" w:hanging="1440"/>
        <w:rPr>
          <w:b/>
        </w:rPr>
      </w:pPr>
      <w:r w:rsidRPr="000F013A">
        <w:rPr>
          <w:b/>
        </w:rPr>
        <w:t>RULE 805.</w:t>
      </w:r>
      <w:r w:rsidRPr="000F013A">
        <w:rPr>
          <w:b/>
        </w:rPr>
        <w:tab/>
        <w:t>AIR QUALITY IMPACT ANALYSIS, MODELING, MONITORING, AND AIR QUALITY INCREMENT CONSUMPTION</w:t>
      </w:r>
    </w:p>
    <w:p w14:paraId="29AA8A42" w14:textId="45E9BD4F" w:rsidR="00AB6D88" w:rsidRPr="000F013A" w:rsidRDefault="00AB6D88" w:rsidP="00F05676">
      <w:pPr>
        <w:ind w:left="1440"/>
        <w:rPr>
          <w:b/>
        </w:rPr>
      </w:pPr>
      <w:r w:rsidRPr="00F05676">
        <w:t xml:space="preserve">(Adopted 4/17/1997, </w:t>
      </w:r>
      <w:r w:rsidR="00DC0087" w:rsidRPr="00F05676">
        <w:t>revised</w:t>
      </w:r>
      <w:r w:rsidR="00490F3C">
        <w:t xml:space="preserve"> 8/25/2016</w:t>
      </w:r>
      <w:r w:rsidRPr="00F05676">
        <w:t>)</w:t>
      </w:r>
      <w:r w:rsidRPr="000F013A">
        <w:rPr>
          <w:b/>
        </w:rPr>
        <w:t xml:space="preserve"> </w:t>
      </w:r>
    </w:p>
    <w:p w14:paraId="3242496A" w14:textId="77777777" w:rsidR="00AB6D88" w:rsidRDefault="00AB6D88" w:rsidP="00411739">
      <w:pPr>
        <w:ind w:right="540"/>
      </w:pPr>
    </w:p>
    <w:p w14:paraId="35BC8126" w14:textId="77777777" w:rsidR="00411739" w:rsidRDefault="00411739" w:rsidP="00411739">
      <w:pPr>
        <w:ind w:right="540"/>
        <w:rPr>
          <w:b/>
        </w:rPr>
      </w:pPr>
    </w:p>
    <w:p w14:paraId="340732D0" w14:textId="77777777" w:rsidR="00AB6D88" w:rsidRDefault="00AB6D88" w:rsidP="003F1407">
      <w:pPr>
        <w:ind w:left="720" w:hanging="720"/>
      </w:pPr>
      <w:r>
        <w:rPr>
          <w:b/>
        </w:rPr>
        <w:t>A.</w:t>
      </w:r>
      <w:r>
        <w:tab/>
      </w:r>
      <w:r>
        <w:rPr>
          <w:b/>
        </w:rPr>
        <w:t>Applicability</w:t>
      </w:r>
    </w:p>
    <w:p w14:paraId="13351E19" w14:textId="77777777" w:rsidR="00AB6D88" w:rsidRDefault="00AB6D88" w:rsidP="003F1407">
      <w:pPr>
        <w:ind w:left="540" w:hanging="540"/>
      </w:pPr>
    </w:p>
    <w:p w14:paraId="77D051F6" w14:textId="216F720B" w:rsidR="00AB6D88" w:rsidRDefault="00AB6D88" w:rsidP="003F1407">
      <w:pPr>
        <w:ind w:left="720" w:hanging="7"/>
      </w:pPr>
      <w:r>
        <w:t>This rule shall apply to any new or modified stationary source that requires an air quality impact analysis, modeling, monitoring, or air quality increment</w:t>
      </w:r>
      <w:r w:rsidR="00B10195">
        <w:t xml:space="preserve"> </w:t>
      </w:r>
      <w:r w:rsidR="003B40D2">
        <w:t>analysis</w:t>
      </w:r>
      <w:r>
        <w:t>.</w:t>
      </w:r>
      <w:r w:rsidR="00D323FD">
        <w:t xml:space="preserve"> Projects </w:t>
      </w:r>
      <w:r w:rsidR="007400CA">
        <w:t xml:space="preserve">subject to </w:t>
      </w:r>
      <w:r w:rsidR="00D323FD">
        <w:t xml:space="preserve">Federal Prevention of </w:t>
      </w:r>
      <w:r w:rsidR="007F55AB">
        <w:t xml:space="preserve">Significant </w:t>
      </w:r>
      <w:r w:rsidR="00D323FD">
        <w:t xml:space="preserve">Deterioration </w:t>
      </w:r>
      <w:r w:rsidR="007400CA">
        <w:t xml:space="preserve">shall </w:t>
      </w:r>
      <w:r w:rsidR="003B40D2">
        <w:t xml:space="preserve">also </w:t>
      </w:r>
      <w:r w:rsidR="007400CA">
        <w:t xml:space="preserve">comply </w:t>
      </w:r>
      <w:r w:rsidR="00D323FD">
        <w:t>with the requirements of Rule 810</w:t>
      </w:r>
      <w:r w:rsidR="00EC4FB4">
        <w:t xml:space="preserve">, </w:t>
      </w:r>
      <w:r w:rsidR="00EC4FB4" w:rsidRPr="00EC4FB4">
        <w:t>Federal Prevention of Significant Deterioration</w:t>
      </w:r>
      <w:r w:rsidR="00D323FD">
        <w:t xml:space="preserve">. </w:t>
      </w:r>
    </w:p>
    <w:p w14:paraId="0DE54301" w14:textId="77777777" w:rsidR="00AB6D88" w:rsidRDefault="00AB6D88" w:rsidP="003F1407">
      <w:pPr>
        <w:ind w:left="540" w:hanging="540"/>
      </w:pPr>
    </w:p>
    <w:p w14:paraId="0215DC4C" w14:textId="77777777" w:rsidR="00AB6D88" w:rsidRDefault="00AB6D88" w:rsidP="003F1407">
      <w:pPr>
        <w:ind w:left="720" w:hanging="720"/>
      </w:pPr>
      <w:r>
        <w:rPr>
          <w:b/>
        </w:rPr>
        <w:t>B.</w:t>
      </w:r>
      <w:r>
        <w:tab/>
      </w:r>
      <w:r>
        <w:rPr>
          <w:b/>
        </w:rPr>
        <w:t>Exemptions</w:t>
      </w:r>
    </w:p>
    <w:p w14:paraId="1BB0EFC2" w14:textId="77777777" w:rsidR="00AB6D88" w:rsidRDefault="00AB6D88" w:rsidP="003F1407">
      <w:pPr>
        <w:ind w:left="540" w:hanging="540"/>
      </w:pPr>
    </w:p>
    <w:p w14:paraId="6DEA9608" w14:textId="77777777" w:rsidR="00AB6D88" w:rsidRDefault="00AB6D88" w:rsidP="003F1407">
      <w:pPr>
        <w:ind w:left="720" w:hanging="7"/>
      </w:pPr>
      <w:r>
        <w:tab/>
        <w:t>None.</w:t>
      </w:r>
    </w:p>
    <w:p w14:paraId="5B8A965C" w14:textId="77777777" w:rsidR="00AB6D88" w:rsidRDefault="00AB6D88" w:rsidP="003F1407">
      <w:pPr>
        <w:ind w:left="540" w:hanging="540"/>
      </w:pPr>
    </w:p>
    <w:p w14:paraId="02335CA3" w14:textId="77777777" w:rsidR="00AB6D88" w:rsidRDefault="00AB6D88" w:rsidP="003F1407">
      <w:pPr>
        <w:ind w:left="720" w:hanging="720"/>
      </w:pPr>
      <w:r>
        <w:rPr>
          <w:b/>
        </w:rPr>
        <w:t>C.</w:t>
      </w:r>
      <w:r>
        <w:tab/>
      </w:r>
      <w:r>
        <w:rPr>
          <w:b/>
        </w:rPr>
        <w:t>Definitions</w:t>
      </w:r>
    </w:p>
    <w:p w14:paraId="07758CB2" w14:textId="77777777" w:rsidR="00AB6D88" w:rsidRDefault="00AB6D88" w:rsidP="003F1407">
      <w:pPr>
        <w:ind w:left="540" w:hanging="540"/>
      </w:pPr>
    </w:p>
    <w:p w14:paraId="2F4DBF92" w14:textId="2C63930C" w:rsidR="00DE73D8" w:rsidRPr="00560912" w:rsidRDefault="00AB6D88" w:rsidP="003F1407">
      <w:pPr>
        <w:ind w:left="720"/>
        <w:rPr>
          <w:i/>
        </w:rPr>
      </w:pPr>
      <w:r w:rsidRPr="00CB2F3F">
        <w:t xml:space="preserve">See Rule 102, Definitions, </w:t>
      </w:r>
      <w:r>
        <w:t xml:space="preserve">and </w:t>
      </w:r>
      <w:r w:rsidR="0080158A">
        <w:t xml:space="preserve">Rule </w:t>
      </w:r>
      <w:r>
        <w:t>801, New Source R</w:t>
      </w:r>
      <w:r w:rsidR="00411739">
        <w:t xml:space="preserve">eview – Definitions and General </w:t>
      </w:r>
      <w:r>
        <w:t xml:space="preserve">Requirements, </w:t>
      </w:r>
      <w:r w:rsidR="00411739">
        <w:t>for definitions.</w:t>
      </w:r>
    </w:p>
    <w:p w14:paraId="75987A13" w14:textId="77777777" w:rsidR="00111BEE" w:rsidRDefault="00111BEE" w:rsidP="003F1407"/>
    <w:p w14:paraId="43920059" w14:textId="32900320" w:rsidR="00AB6D88" w:rsidRDefault="00AB6D88" w:rsidP="003F1407">
      <w:pPr>
        <w:ind w:left="720" w:hanging="720"/>
      </w:pPr>
      <w:r>
        <w:rPr>
          <w:b/>
        </w:rPr>
        <w:t>D.</w:t>
      </w:r>
      <w:r>
        <w:tab/>
      </w:r>
      <w:r>
        <w:rPr>
          <w:b/>
        </w:rPr>
        <w:t xml:space="preserve">Requirements </w:t>
      </w:r>
      <w:r w:rsidR="0031284F">
        <w:rPr>
          <w:b/>
        </w:rPr>
        <w:t>–</w:t>
      </w:r>
      <w:r>
        <w:rPr>
          <w:b/>
        </w:rPr>
        <w:t xml:space="preserve"> General</w:t>
      </w:r>
    </w:p>
    <w:p w14:paraId="36EBFF72" w14:textId="77777777" w:rsidR="00775C41" w:rsidRDefault="00775C41" w:rsidP="003F1407"/>
    <w:p w14:paraId="16B38538" w14:textId="64974B05" w:rsidR="00AB6D88" w:rsidRDefault="00AB6D88" w:rsidP="003F1407">
      <w:pPr>
        <w:ind w:left="720" w:hanging="7"/>
      </w:pPr>
      <w:r>
        <w:t>1.</w:t>
      </w:r>
      <w:r>
        <w:tab/>
        <w:t>Air Quality Models</w:t>
      </w:r>
    </w:p>
    <w:p w14:paraId="000A6FCB" w14:textId="77777777" w:rsidR="00AB6D88" w:rsidRDefault="00AB6D88" w:rsidP="003F1407">
      <w:pPr>
        <w:ind w:left="1094" w:hanging="547"/>
      </w:pPr>
    </w:p>
    <w:p w14:paraId="2B6F65EF" w14:textId="7EA2B122" w:rsidR="00AB6D88" w:rsidRDefault="00AB6D88" w:rsidP="003F1407">
      <w:pPr>
        <w:ind w:left="1440"/>
        <w:rPr>
          <w:smallCaps/>
        </w:rPr>
      </w:pPr>
      <w:r>
        <w:t xml:space="preserve">All air quality models shall be consistent with the requirements provided in the most recent "Guideline on Air Quality Models” prepared by the Environmental Protection Agency </w:t>
      </w:r>
      <w:r w:rsidR="00D958F3">
        <w:t>(Appendix W</w:t>
      </w:r>
      <w:r w:rsidR="009E1914">
        <w:t xml:space="preserve"> to 40 CFR Part 51</w:t>
      </w:r>
      <w:r w:rsidR="00D958F3">
        <w:t xml:space="preserve">) </w:t>
      </w:r>
      <w:r>
        <w:t xml:space="preserve">unless the Control Officer finds that such a model is inappropriate for use. After making such finding, the Control Officer may designate an alternate model only after allowing for public comment and only with concurrence of the California Air Resources Board and the Environmental Protection Agency. </w:t>
      </w:r>
    </w:p>
    <w:p w14:paraId="6BA65B96" w14:textId="77777777" w:rsidR="00AB6D88" w:rsidRDefault="00AB6D88" w:rsidP="003F1407">
      <w:pPr>
        <w:ind w:left="1080" w:hanging="540"/>
      </w:pPr>
    </w:p>
    <w:p w14:paraId="68148832" w14:textId="427257FE" w:rsidR="00AB6D88" w:rsidRDefault="00AB6D88" w:rsidP="003F1407">
      <w:pPr>
        <w:keepNext/>
        <w:ind w:left="720" w:hanging="7"/>
      </w:pPr>
      <w:r>
        <w:t>2.</w:t>
      </w:r>
      <w:r>
        <w:tab/>
        <w:t xml:space="preserve">Effective Stack Height </w:t>
      </w:r>
    </w:p>
    <w:p w14:paraId="76B9C5FF" w14:textId="77777777" w:rsidR="00AB6D88" w:rsidRDefault="00AB6D88" w:rsidP="003F1407">
      <w:pPr>
        <w:keepNext/>
        <w:ind w:left="1094" w:hanging="547"/>
      </w:pPr>
    </w:p>
    <w:p w14:paraId="4FEDADB0" w14:textId="37A681D1" w:rsidR="00AB6D88" w:rsidRDefault="00AB6D88" w:rsidP="003F1407">
      <w:pPr>
        <w:keepLines/>
        <w:ind w:left="1440"/>
      </w:pPr>
      <w:r>
        <w:t xml:space="preserve">For the purposes of determining effective stack height, the influence of a nearby structure is limited to five times its height or width, whichever is less, downwind. In meeting the requirements of this </w:t>
      </w:r>
      <w:r w:rsidR="0080158A">
        <w:t>r</w:t>
      </w:r>
      <w:r>
        <w:t>ule pertaining to compliance with applicable ambient air quality standards or increments, the degree of emission limitation required shall not be affected by:</w:t>
      </w:r>
    </w:p>
    <w:p w14:paraId="6C2D220F" w14:textId="77777777" w:rsidR="00AB6D88" w:rsidRDefault="00AB6D88" w:rsidP="003F1407">
      <w:pPr>
        <w:keepLines/>
      </w:pPr>
    </w:p>
    <w:p w14:paraId="1A809396" w14:textId="77777777" w:rsidR="00AB6D88" w:rsidRDefault="00AB6D88" w:rsidP="003F1407">
      <w:pPr>
        <w:keepLines/>
        <w:ind w:left="2160" w:hanging="720"/>
      </w:pPr>
      <w:r>
        <w:t>a.</w:t>
      </w:r>
      <w:r>
        <w:tab/>
        <w:t>so much of the stack height of any source as exceeds good engineering practice</w:t>
      </w:r>
      <w:r w:rsidR="007F55AB">
        <w:t>,</w:t>
      </w:r>
      <w:r>
        <w:t xml:space="preserve"> or</w:t>
      </w:r>
    </w:p>
    <w:p w14:paraId="51AA97F7" w14:textId="77777777" w:rsidR="00AB6D88" w:rsidRDefault="00AB6D88" w:rsidP="003F1407">
      <w:pPr>
        <w:keepLines/>
        <w:ind w:left="1620" w:hanging="540"/>
      </w:pPr>
    </w:p>
    <w:p w14:paraId="1894BA98" w14:textId="77777777" w:rsidR="00AB6D88" w:rsidRDefault="00AB6D88" w:rsidP="003F1407">
      <w:pPr>
        <w:keepLines/>
        <w:ind w:left="2160" w:hanging="720"/>
      </w:pPr>
      <w:r>
        <w:t>b.</w:t>
      </w:r>
      <w:r>
        <w:tab/>
        <w:t>any other dispersion technique.</w:t>
      </w:r>
    </w:p>
    <w:p w14:paraId="1CC72739" w14:textId="77777777" w:rsidR="00AB6D88" w:rsidRPr="0043519C" w:rsidRDefault="00AB6D88" w:rsidP="003F1407">
      <w:pPr>
        <w:tabs>
          <w:tab w:val="left" w:pos="-720"/>
          <w:tab w:val="left" w:pos="0"/>
          <w:tab w:val="left" w:pos="720"/>
        </w:tabs>
        <w:suppressAutoHyphens/>
        <w:ind w:left="1440"/>
      </w:pPr>
      <w:bookmarkStart w:id="0" w:name="_GoBack"/>
      <w:bookmarkEnd w:id="0"/>
    </w:p>
    <w:p w14:paraId="52A95BED" w14:textId="59D4C00F" w:rsidR="00AB6D88" w:rsidRPr="00411A97" w:rsidRDefault="00AB6D88" w:rsidP="003F1407">
      <w:pPr>
        <w:ind w:left="720" w:hanging="720"/>
        <w:rPr>
          <w:b/>
        </w:rPr>
      </w:pPr>
      <w:r w:rsidRPr="00B90529">
        <w:rPr>
          <w:b/>
        </w:rPr>
        <w:t>E.</w:t>
      </w:r>
      <w:r w:rsidRPr="00B90529">
        <w:rPr>
          <w:b/>
        </w:rPr>
        <w:tab/>
      </w:r>
      <w:r>
        <w:rPr>
          <w:b/>
        </w:rPr>
        <w:t xml:space="preserve">Requirements </w:t>
      </w:r>
      <w:r w:rsidR="0031284F">
        <w:rPr>
          <w:b/>
        </w:rPr>
        <w:t>–</w:t>
      </w:r>
      <w:r>
        <w:rPr>
          <w:b/>
        </w:rPr>
        <w:t xml:space="preserve"> Air Quality Impact Analysis: Class I Area </w:t>
      </w:r>
    </w:p>
    <w:p w14:paraId="1F59F2AD" w14:textId="77777777" w:rsidR="00AB6D88" w:rsidRDefault="00AB6D88" w:rsidP="003F1407"/>
    <w:p w14:paraId="49DC44C9" w14:textId="09CF00E7" w:rsidR="00AB6D88" w:rsidRDefault="00AB6D88" w:rsidP="003F1407">
      <w:pPr>
        <w:keepNext/>
        <w:ind w:left="720"/>
        <w:rPr>
          <w:b/>
        </w:rPr>
      </w:pPr>
      <w:r>
        <w:t>If a new or modified source will impact a Class I Area, the applicant shall analyze the stationary source's impact on air quality related values for those values which the Federal Land Manager has identified.</w:t>
      </w:r>
    </w:p>
    <w:p w14:paraId="18058A05" w14:textId="77777777" w:rsidR="00AB6D88" w:rsidRDefault="00AB6D88" w:rsidP="003F1407">
      <w:pPr>
        <w:keepLines/>
        <w:rPr>
          <w:b/>
        </w:rPr>
      </w:pPr>
    </w:p>
    <w:p w14:paraId="278CB164" w14:textId="51D8ECB2" w:rsidR="00AB6D88" w:rsidRDefault="00AB6D88" w:rsidP="003F1407">
      <w:pPr>
        <w:keepNext/>
      </w:pPr>
      <w:r>
        <w:rPr>
          <w:b/>
        </w:rPr>
        <w:t>F.</w:t>
      </w:r>
      <w:r>
        <w:rPr>
          <w:b/>
        </w:rPr>
        <w:tab/>
        <w:t xml:space="preserve">Requirements </w:t>
      </w:r>
      <w:r w:rsidR="0031284F">
        <w:rPr>
          <w:b/>
        </w:rPr>
        <w:t>–</w:t>
      </w:r>
      <w:r>
        <w:rPr>
          <w:b/>
        </w:rPr>
        <w:t xml:space="preserve"> Ambient Air Quality Standards and Air Quality Increments</w:t>
      </w:r>
    </w:p>
    <w:p w14:paraId="5B7E1F6B" w14:textId="77777777" w:rsidR="00AB6D88" w:rsidRDefault="00AB6D88" w:rsidP="003F1407"/>
    <w:p w14:paraId="108840C3" w14:textId="5550A223" w:rsidR="00AB6D88" w:rsidRDefault="00AB6D88" w:rsidP="003F1407">
      <w:pPr>
        <w:ind w:left="1440" w:hanging="720"/>
      </w:pPr>
      <w:r w:rsidRPr="00BC75CC">
        <w:t>1.</w:t>
      </w:r>
      <w:r>
        <w:tab/>
        <w:t xml:space="preserve">In no case shall the emissions from the new or modified stationary source cause the violation of an ambient air quality standard or lead to the violation of any air quality increment. </w:t>
      </w:r>
    </w:p>
    <w:p w14:paraId="56293A1A" w14:textId="77777777" w:rsidR="00AB6D88" w:rsidRDefault="00AB6D88" w:rsidP="003F1407"/>
    <w:p w14:paraId="2634FC40" w14:textId="3DC1198F" w:rsidR="00F13C56" w:rsidRDefault="00AB6D88" w:rsidP="003F1407">
      <w:pPr>
        <w:tabs>
          <w:tab w:val="left" w:pos="720"/>
        </w:tabs>
        <w:spacing w:line="240" w:lineRule="exact"/>
        <w:ind w:left="1440" w:hanging="720"/>
      </w:pPr>
      <w:r w:rsidRPr="00BC75CC">
        <w:t>2.</w:t>
      </w:r>
      <w:r>
        <w:rPr>
          <w:b/>
        </w:rPr>
        <w:tab/>
      </w:r>
      <w:r w:rsidR="00BE7526">
        <w:t xml:space="preserve">Baseline air quality shall be the ambient concentration level reflecting actual air quality as monitored </w:t>
      </w:r>
      <w:r w:rsidR="00F13C56">
        <w:t xml:space="preserve">by District monitoring equipment or by applicant pre-construction monitors installed </w:t>
      </w:r>
      <w:r w:rsidR="00F13C56">
        <w:lastRenderedPageBreak/>
        <w:t>pursuant to Rule 802.G,</w:t>
      </w:r>
      <w:r w:rsidR="00F13C56" w:rsidRPr="00844E23">
        <w:t xml:space="preserve"> Requirements </w:t>
      </w:r>
      <w:r w:rsidR="00F13C56">
        <w:softHyphen/>
        <w:t>–</w:t>
      </w:r>
      <w:r w:rsidR="00F13C56" w:rsidRPr="00844E23">
        <w:t xml:space="preserve"> Air Quality Impact Analysis: Pre and Post</w:t>
      </w:r>
      <w:r w:rsidR="005D31A1">
        <w:t>-</w:t>
      </w:r>
      <w:r w:rsidR="00F13C56" w:rsidRPr="00844E23">
        <w:t>Construction Monitoring</w:t>
      </w:r>
      <w:r w:rsidR="00F13C56">
        <w:t xml:space="preserve">. </w:t>
      </w:r>
    </w:p>
    <w:p w14:paraId="660A9D9C" w14:textId="77777777" w:rsidR="00BE7526" w:rsidRDefault="00BE7526" w:rsidP="003F1407">
      <w:pPr>
        <w:tabs>
          <w:tab w:val="left" w:pos="720"/>
        </w:tabs>
        <w:spacing w:line="240" w:lineRule="exact"/>
        <w:ind w:left="1440" w:hanging="720"/>
      </w:pPr>
    </w:p>
    <w:p w14:paraId="17938EC8" w14:textId="33FE4B8E" w:rsidR="00AB6D88" w:rsidRPr="0030378F" w:rsidRDefault="00F13C56" w:rsidP="003F1407">
      <w:pPr>
        <w:tabs>
          <w:tab w:val="left" w:pos="720"/>
        </w:tabs>
        <w:spacing w:line="240" w:lineRule="exact"/>
        <w:ind w:left="1440" w:hanging="720"/>
        <w:rPr>
          <w:b/>
        </w:rPr>
      </w:pPr>
      <w:r>
        <w:t>3.</w:t>
      </w:r>
      <w:r>
        <w:tab/>
      </w:r>
      <w:r w:rsidR="00AB6D88">
        <w:t xml:space="preserve">The applicant may consume the full increment range, where </w:t>
      </w:r>
      <w:r w:rsidR="00172DE4">
        <w:t xml:space="preserve">provided </w:t>
      </w:r>
      <w:r w:rsidR="00AB6D88">
        <w:t>in Table 1, if the applicant provid</w:t>
      </w:r>
      <w:r w:rsidR="004F6607">
        <w:t>es</w:t>
      </w:r>
      <w:r w:rsidR="00AB6D88">
        <w:t xml:space="preserve"> alternative mitigation</w:t>
      </w:r>
      <w:r w:rsidR="004F6607">
        <w:t xml:space="preserve"> as </w:t>
      </w:r>
      <w:r w:rsidR="00172DE4">
        <w:t>required</w:t>
      </w:r>
      <w:r w:rsidR="004F6607">
        <w:t xml:space="preserve"> herein</w:t>
      </w:r>
      <w:r w:rsidR="00AB6D88">
        <w:t>. The cost of such mitigation shall not exceed $333 per year per microgram/m</w:t>
      </w:r>
      <w:r w:rsidR="00AB6D88">
        <w:rPr>
          <w:vertAlign w:val="superscript"/>
        </w:rPr>
        <w:t>3</w:t>
      </w:r>
      <w:r w:rsidR="00AB6D88">
        <w:t xml:space="preserve"> over the lower level of the increment range for th</w:t>
      </w:r>
      <w:r w:rsidR="005D31A1">
        <w:t>e</w:t>
      </w:r>
      <w:r w:rsidR="00AB6D88">
        <w:t xml:space="preserve"> pollutant</w:t>
      </w:r>
      <w:r w:rsidR="00D416EA">
        <w:t>.</w:t>
      </w:r>
      <w:r w:rsidR="00AB6D88">
        <w:t xml:space="preserve"> </w:t>
      </w:r>
      <w:r w:rsidR="00D416EA">
        <w:t>T</w:t>
      </w:r>
      <w:r w:rsidR="00AB6D88">
        <w:t xml:space="preserve">he maximum cost of mitigation for the first year </w:t>
      </w:r>
      <w:r w:rsidR="00D416EA">
        <w:t xml:space="preserve">shall be based </w:t>
      </w:r>
      <w:r w:rsidR="00AB6D88">
        <w:t>on the maximum modeled concentration of the projected peak emissions year, thereafter depreciating this amount by 10 percent per year over 10 years or the life of the project, whichever is less. Cost of mitigation during the final year of the project shall be prorated to reflect the portion of the year during which the facility is in operation.</w:t>
      </w:r>
      <w:r w:rsidR="00AB6D88">
        <w:br/>
      </w:r>
    </w:p>
    <w:p w14:paraId="12D94894" w14:textId="5A917C09" w:rsidR="00AB6D88" w:rsidRPr="006A68E4" w:rsidRDefault="00AB6D88" w:rsidP="00AB6D88">
      <w:pPr>
        <w:keepNext/>
        <w:jc w:val="center"/>
        <w:rPr>
          <w:vertAlign w:val="superscript"/>
        </w:rPr>
      </w:pPr>
      <w:r w:rsidRPr="0030378F">
        <w:rPr>
          <w:b/>
        </w:rPr>
        <w:t xml:space="preserve">Table </w:t>
      </w:r>
      <w:r>
        <w:rPr>
          <w:b/>
        </w:rPr>
        <w:t>1</w:t>
      </w:r>
      <w:r w:rsidR="00586977">
        <w:rPr>
          <w:b/>
        </w:rPr>
        <w:t>:</w:t>
      </w:r>
      <w:r w:rsidRPr="0030378F">
        <w:rPr>
          <w:b/>
        </w:rPr>
        <w:t xml:space="preserve"> A</w:t>
      </w:r>
      <w:r w:rsidR="00EE3577">
        <w:rPr>
          <w:b/>
        </w:rPr>
        <w:t>ir</w:t>
      </w:r>
      <w:r w:rsidRPr="0030378F">
        <w:rPr>
          <w:b/>
        </w:rPr>
        <w:t xml:space="preserve"> Q</w:t>
      </w:r>
      <w:r w:rsidR="00EE3577">
        <w:rPr>
          <w:b/>
        </w:rPr>
        <w:t>uality</w:t>
      </w:r>
      <w:r w:rsidRPr="0030378F">
        <w:rPr>
          <w:b/>
        </w:rPr>
        <w:t xml:space="preserve"> </w:t>
      </w:r>
      <w:r w:rsidR="00597384">
        <w:rPr>
          <w:b/>
        </w:rPr>
        <w:t>S</w:t>
      </w:r>
      <w:r w:rsidR="00EE3577">
        <w:rPr>
          <w:b/>
        </w:rPr>
        <w:t>tandards</w:t>
      </w:r>
      <w:r w:rsidR="00597384">
        <w:rPr>
          <w:b/>
        </w:rPr>
        <w:t xml:space="preserve"> </w:t>
      </w:r>
      <w:r w:rsidR="00EE3577">
        <w:rPr>
          <w:b/>
        </w:rPr>
        <w:t>and</w:t>
      </w:r>
      <w:r w:rsidR="00597384">
        <w:rPr>
          <w:b/>
        </w:rPr>
        <w:t xml:space="preserve"> </w:t>
      </w:r>
      <w:r w:rsidRPr="0030378F">
        <w:rPr>
          <w:b/>
        </w:rPr>
        <w:t>I</w:t>
      </w:r>
      <w:r w:rsidR="00EE3577">
        <w:rPr>
          <w:b/>
        </w:rPr>
        <w:t>ncrements</w:t>
      </w:r>
      <w:r w:rsidR="00CB1D95">
        <w:rPr>
          <w:b/>
        </w:rPr>
        <w:t xml:space="preserve"> </w:t>
      </w:r>
      <w:r w:rsidR="00CB1D95">
        <w:rPr>
          <w:b/>
          <w:vertAlign w:val="superscript"/>
        </w:rPr>
        <w:t>1</w:t>
      </w:r>
    </w:p>
    <w:p w14:paraId="25BF07B4" w14:textId="1407C18B" w:rsidR="00AB6D88" w:rsidRDefault="00AB6D88" w:rsidP="00AB6D88">
      <w:pPr>
        <w:ind w:left="4014" w:right="720" w:hanging="30"/>
      </w:pPr>
    </w:p>
    <w:tbl>
      <w:tblPr>
        <w:tblW w:w="0" w:type="auto"/>
        <w:tblInd w:w="1548" w:type="dxa"/>
        <w:tblLayout w:type="fixed"/>
        <w:tblLook w:val="0000" w:firstRow="0" w:lastRow="0" w:firstColumn="0" w:lastColumn="0" w:noHBand="0" w:noVBand="0"/>
      </w:tblPr>
      <w:tblGrid>
        <w:gridCol w:w="2880"/>
        <w:gridCol w:w="1147"/>
        <w:gridCol w:w="1350"/>
        <w:gridCol w:w="1350"/>
      </w:tblGrid>
      <w:tr w:rsidR="00620267" w:rsidRPr="00556ADB" w14:paraId="73A46B27" w14:textId="77777777" w:rsidTr="00327912">
        <w:trPr>
          <w:trHeight w:val="930"/>
        </w:trPr>
        <w:tc>
          <w:tcPr>
            <w:tcW w:w="2880" w:type="dxa"/>
            <w:tcBorders>
              <w:top w:val="single" w:sz="4" w:space="0" w:color="auto"/>
              <w:left w:val="single" w:sz="4" w:space="0" w:color="auto"/>
              <w:right w:val="single" w:sz="6" w:space="0" w:color="000000"/>
            </w:tcBorders>
            <w:vAlign w:val="bottom"/>
          </w:tcPr>
          <w:p w14:paraId="2C975431" w14:textId="77777777" w:rsidR="00620267" w:rsidRPr="001D1F9A" w:rsidRDefault="00620267" w:rsidP="00AB6D88">
            <w:pPr>
              <w:ind w:left="840" w:hanging="840"/>
              <w:rPr>
                <w:b/>
              </w:rPr>
            </w:pPr>
          </w:p>
          <w:p w14:paraId="4485A06F" w14:textId="77777777" w:rsidR="00620267" w:rsidRPr="00F05676" w:rsidRDefault="00620267" w:rsidP="00AB6D88">
            <w:pPr>
              <w:ind w:right="72"/>
              <w:rPr>
                <w:b/>
                <w:i/>
              </w:rPr>
            </w:pPr>
            <w:r w:rsidRPr="00F05676">
              <w:rPr>
                <w:b/>
                <w:i/>
              </w:rPr>
              <w:t>Pollutant:</w:t>
            </w:r>
          </w:p>
        </w:tc>
        <w:tc>
          <w:tcPr>
            <w:tcW w:w="2497" w:type="dxa"/>
            <w:gridSpan w:val="2"/>
            <w:tcBorders>
              <w:top w:val="single" w:sz="4" w:space="0" w:color="auto"/>
              <w:left w:val="single" w:sz="6" w:space="0" w:color="000000"/>
              <w:right w:val="single" w:sz="4" w:space="0" w:color="auto"/>
            </w:tcBorders>
          </w:tcPr>
          <w:p w14:paraId="5568AAD9" w14:textId="77777777" w:rsidR="00620267" w:rsidRDefault="00620267" w:rsidP="009A3C4C">
            <w:pPr>
              <w:jc w:val="center"/>
              <w:rPr>
                <w:rFonts w:cs="Times New Roman"/>
                <w:b/>
              </w:rPr>
            </w:pPr>
            <w:r w:rsidRPr="00616A6D">
              <w:rPr>
                <w:rFonts w:cs="Times New Roman"/>
                <w:b/>
              </w:rPr>
              <w:t xml:space="preserve">Maximum Allowable Increase </w:t>
            </w:r>
            <w:r>
              <w:rPr>
                <w:rFonts w:cs="Times New Roman"/>
                <w:b/>
              </w:rPr>
              <w:t xml:space="preserve">– </w:t>
            </w:r>
            <w:r w:rsidRPr="00616A6D">
              <w:rPr>
                <w:rFonts w:cs="Times New Roman"/>
                <w:b/>
              </w:rPr>
              <w:t>Increments</w:t>
            </w:r>
          </w:p>
          <w:p w14:paraId="2B6F2F95" w14:textId="77777777" w:rsidR="00620267" w:rsidRPr="00620267" w:rsidRDefault="00620267" w:rsidP="00620267">
            <w:pPr>
              <w:jc w:val="center"/>
              <w:rPr>
                <w:rFonts w:cs="Times New Roman"/>
              </w:rPr>
            </w:pPr>
            <w:r w:rsidRPr="00620267">
              <w:rPr>
                <w:rFonts w:cs="Times New Roman"/>
              </w:rPr>
              <w:t>(ug/m^3)</w:t>
            </w:r>
          </w:p>
          <w:p w14:paraId="63813E6B" w14:textId="77777777" w:rsidR="00620267" w:rsidRPr="001D1F9A" w:rsidRDefault="00620267" w:rsidP="00620267">
            <w:pPr>
              <w:jc w:val="center"/>
              <w:rPr>
                <w:b/>
              </w:rPr>
            </w:pPr>
          </w:p>
        </w:tc>
        <w:tc>
          <w:tcPr>
            <w:tcW w:w="1350" w:type="dxa"/>
            <w:vMerge w:val="restart"/>
            <w:tcBorders>
              <w:top w:val="single" w:sz="4" w:space="0" w:color="auto"/>
              <w:left w:val="single" w:sz="6" w:space="0" w:color="000000"/>
              <w:right w:val="single" w:sz="4" w:space="0" w:color="auto"/>
            </w:tcBorders>
          </w:tcPr>
          <w:p w14:paraId="70448029" w14:textId="5154D8A3" w:rsidR="00620267" w:rsidRPr="001D1F9A" w:rsidRDefault="00620267" w:rsidP="00AB6D88">
            <w:pPr>
              <w:ind w:left="840" w:hanging="840"/>
              <w:jc w:val="center"/>
              <w:rPr>
                <w:b/>
                <w:vertAlign w:val="superscript"/>
              </w:rPr>
            </w:pPr>
            <w:r w:rsidRPr="001D1F9A">
              <w:rPr>
                <w:b/>
              </w:rPr>
              <w:t xml:space="preserve">Air </w:t>
            </w:r>
          </w:p>
          <w:p w14:paraId="0EF59750" w14:textId="77777777" w:rsidR="00620267" w:rsidRPr="001D1F9A" w:rsidRDefault="00620267" w:rsidP="00AB6D88">
            <w:pPr>
              <w:ind w:left="840" w:hanging="840"/>
              <w:jc w:val="center"/>
              <w:rPr>
                <w:b/>
              </w:rPr>
            </w:pPr>
            <w:r w:rsidRPr="001D1F9A">
              <w:rPr>
                <w:b/>
              </w:rPr>
              <w:t>Quality</w:t>
            </w:r>
          </w:p>
          <w:p w14:paraId="7EBA999F" w14:textId="489348A7" w:rsidR="00620267" w:rsidRDefault="00620267" w:rsidP="00AB6D88">
            <w:pPr>
              <w:ind w:left="840" w:hanging="840"/>
              <w:jc w:val="center"/>
              <w:rPr>
                <w:b/>
              </w:rPr>
            </w:pPr>
            <w:r w:rsidRPr="001D1F9A">
              <w:rPr>
                <w:b/>
              </w:rPr>
              <w:t>Standard</w:t>
            </w:r>
            <w:r w:rsidR="005D31A1">
              <w:rPr>
                <w:b/>
              </w:rPr>
              <w:t xml:space="preserve"> </w:t>
            </w:r>
            <w:r w:rsidR="005D31A1" w:rsidRPr="001D1F9A">
              <w:rPr>
                <w:b/>
                <w:vertAlign w:val="superscript"/>
              </w:rPr>
              <w:t>2</w:t>
            </w:r>
          </w:p>
          <w:p w14:paraId="57A4667E" w14:textId="77777777" w:rsidR="00620267" w:rsidRPr="00620267" w:rsidRDefault="00620267" w:rsidP="00620267">
            <w:pPr>
              <w:jc w:val="center"/>
              <w:rPr>
                <w:rFonts w:cs="Times New Roman"/>
              </w:rPr>
            </w:pPr>
            <w:r w:rsidRPr="00620267">
              <w:rPr>
                <w:rFonts w:cs="Times New Roman"/>
              </w:rPr>
              <w:t>(ug/m^3)</w:t>
            </w:r>
          </w:p>
          <w:p w14:paraId="58FCC1D2" w14:textId="77777777" w:rsidR="00620267" w:rsidRPr="001D1F9A" w:rsidRDefault="00620267" w:rsidP="00AB6D88">
            <w:pPr>
              <w:ind w:left="840" w:hanging="840"/>
              <w:jc w:val="center"/>
              <w:rPr>
                <w:b/>
              </w:rPr>
            </w:pPr>
          </w:p>
        </w:tc>
      </w:tr>
      <w:tr w:rsidR="00620267" w:rsidRPr="00556ADB" w14:paraId="1DC188B8" w14:textId="77777777" w:rsidTr="00886BBC">
        <w:tc>
          <w:tcPr>
            <w:tcW w:w="2880" w:type="dxa"/>
            <w:tcBorders>
              <w:left w:val="single" w:sz="4" w:space="0" w:color="auto"/>
              <w:bottom w:val="double" w:sz="6" w:space="0" w:color="000000"/>
              <w:right w:val="single" w:sz="6" w:space="0" w:color="000000"/>
            </w:tcBorders>
            <w:vAlign w:val="bottom"/>
          </w:tcPr>
          <w:p w14:paraId="05AFBD85" w14:textId="0898BB61" w:rsidR="00620267" w:rsidRPr="00F05676" w:rsidRDefault="00620267" w:rsidP="00C94250">
            <w:pPr>
              <w:ind w:left="840" w:hanging="840"/>
            </w:pPr>
            <w:r w:rsidRPr="001D1F9A">
              <w:rPr>
                <w:b/>
              </w:rPr>
              <w:t xml:space="preserve"> </w:t>
            </w:r>
            <w:r>
              <w:t>Averaging Period</w:t>
            </w:r>
          </w:p>
        </w:tc>
        <w:tc>
          <w:tcPr>
            <w:tcW w:w="1147" w:type="dxa"/>
            <w:tcBorders>
              <w:left w:val="single" w:sz="6" w:space="0" w:color="000000"/>
              <w:bottom w:val="double" w:sz="6" w:space="0" w:color="000000"/>
            </w:tcBorders>
          </w:tcPr>
          <w:p w14:paraId="42063EA7" w14:textId="77777777" w:rsidR="00620267" w:rsidRPr="001D1F9A" w:rsidRDefault="00620267" w:rsidP="00AB6D88">
            <w:pPr>
              <w:ind w:left="840" w:hanging="840"/>
              <w:jc w:val="center"/>
              <w:rPr>
                <w:b/>
              </w:rPr>
            </w:pPr>
            <w:r w:rsidRPr="001D1F9A">
              <w:rPr>
                <w:b/>
              </w:rPr>
              <w:t>Class I</w:t>
            </w:r>
          </w:p>
        </w:tc>
        <w:tc>
          <w:tcPr>
            <w:tcW w:w="1350" w:type="dxa"/>
            <w:tcBorders>
              <w:bottom w:val="double" w:sz="6" w:space="0" w:color="000000"/>
              <w:right w:val="single" w:sz="6" w:space="0" w:color="000000"/>
            </w:tcBorders>
          </w:tcPr>
          <w:p w14:paraId="049E745F" w14:textId="77777777" w:rsidR="00620267" w:rsidRPr="001D1F9A" w:rsidRDefault="00620267" w:rsidP="00AB6D88">
            <w:pPr>
              <w:jc w:val="center"/>
              <w:rPr>
                <w:b/>
              </w:rPr>
            </w:pPr>
            <w:r w:rsidRPr="001D1F9A">
              <w:rPr>
                <w:b/>
              </w:rPr>
              <w:t>Class II</w:t>
            </w:r>
          </w:p>
        </w:tc>
        <w:tc>
          <w:tcPr>
            <w:tcW w:w="1350" w:type="dxa"/>
            <w:vMerge/>
            <w:tcBorders>
              <w:left w:val="single" w:sz="6" w:space="0" w:color="000000"/>
              <w:bottom w:val="double" w:sz="6" w:space="0" w:color="000000"/>
              <w:right w:val="single" w:sz="4" w:space="0" w:color="auto"/>
            </w:tcBorders>
            <w:tcMar>
              <w:left w:w="115" w:type="dxa"/>
              <w:right w:w="115" w:type="dxa"/>
            </w:tcMar>
          </w:tcPr>
          <w:p w14:paraId="4DE322F9" w14:textId="77777777" w:rsidR="00620267" w:rsidRPr="001D1F9A" w:rsidRDefault="00620267" w:rsidP="00AB6D88">
            <w:pPr>
              <w:ind w:left="840" w:hanging="840"/>
              <w:jc w:val="center"/>
              <w:rPr>
                <w:b/>
              </w:rPr>
            </w:pPr>
          </w:p>
        </w:tc>
      </w:tr>
      <w:tr w:rsidR="00476412" w:rsidRPr="00556ADB" w14:paraId="7880BC85" w14:textId="77777777" w:rsidTr="009A3C4C">
        <w:trPr>
          <w:trHeight w:val="387"/>
        </w:trPr>
        <w:tc>
          <w:tcPr>
            <w:tcW w:w="2880" w:type="dxa"/>
            <w:tcBorders>
              <w:left w:val="single" w:sz="4" w:space="0" w:color="auto"/>
              <w:right w:val="single" w:sz="6" w:space="0" w:color="000000"/>
            </w:tcBorders>
            <w:vAlign w:val="bottom"/>
          </w:tcPr>
          <w:p w14:paraId="24A6C1A7" w14:textId="77777777" w:rsidR="00EE3577" w:rsidRDefault="00EE3577" w:rsidP="00AB6D88">
            <w:pPr>
              <w:ind w:left="835" w:hanging="835"/>
              <w:rPr>
                <w:b/>
                <w:i/>
              </w:rPr>
            </w:pPr>
          </w:p>
          <w:p w14:paraId="2C5FF019" w14:textId="77777777" w:rsidR="00476412" w:rsidRPr="00F05676" w:rsidRDefault="00476412" w:rsidP="00AB6D88">
            <w:pPr>
              <w:ind w:left="835" w:hanging="835"/>
              <w:rPr>
                <w:b/>
              </w:rPr>
            </w:pPr>
            <w:r w:rsidRPr="00F05676">
              <w:rPr>
                <w:b/>
                <w:i/>
              </w:rPr>
              <w:t>Total Suspended Particulates</w:t>
            </w:r>
            <w:r w:rsidRPr="00F05676">
              <w:rPr>
                <w:b/>
              </w:rPr>
              <w:t>:</w:t>
            </w:r>
          </w:p>
        </w:tc>
        <w:tc>
          <w:tcPr>
            <w:tcW w:w="1147" w:type="dxa"/>
            <w:tcBorders>
              <w:left w:val="single" w:sz="6" w:space="0" w:color="000000"/>
            </w:tcBorders>
          </w:tcPr>
          <w:p w14:paraId="778AAD0B" w14:textId="77777777" w:rsidR="00476412" w:rsidRPr="00492488" w:rsidRDefault="00476412" w:rsidP="00AB6D88">
            <w:pPr>
              <w:ind w:left="835" w:hanging="835"/>
              <w:jc w:val="center"/>
            </w:pPr>
          </w:p>
        </w:tc>
        <w:tc>
          <w:tcPr>
            <w:tcW w:w="1350" w:type="dxa"/>
          </w:tcPr>
          <w:p w14:paraId="1E1D8785" w14:textId="77777777" w:rsidR="00476412" w:rsidRPr="00492488" w:rsidRDefault="00476412" w:rsidP="00AB6D88">
            <w:pPr>
              <w:ind w:left="835" w:hanging="835"/>
              <w:jc w:val="center"/>
            </w:pPr>
          </w:p>
        </w:tc>
        <w:tc>
          <w:tcPr>
            <w:tcW w:w="1350" w:type="dxa"/>
            <w:tcBorders>
              <w:right w:val="single" w:sz="4" w:space="0" w:color="auto"/>
            </w:tcBorders>
          </w:tcPr>
          <w:p w14:paraId="6DE4AAFE" w14:textId="77777777" w:rsidR="00476412" w:rsidRPr="00476412" w:rsidRDefault="00476412" w:rsidP="00AB6D88">
            <w:pPr>
              <w:ind w:left="835" w:hanging="835"/>
              <w:jc w:val="center"/>
            </w:pPr>
          </w:p>
        </w:tc>
      </w:tr>
      <w:tr w:rsidR="00476412" w:rsidRPr="00556ADB" w14:paraId="31E63D32" w14:textId="77777777" w:rsidTr="009A3C4C">
        <w:tc>
          <w:tcPr>
            <w:tcW w:w="2880" w:type="dxa"/>
            <w:tcBorders>
              <w:top w:val="single" w:sz="6" w:space="0" w:color="000000"/>
              <w:left w:val="single" w:sz="4" w:space="0" w:color="auto"/>
              <w:right w:val="single" w:sz="6" w:space="0" w:color="000000"/>
            </w:tcBorders>
            <w:vAlign w:val="bottom"/>
          </w:tcPr>
          <w:p w14:paraId="7DCD2A08" w14:textId="77777777" w:rsidR="00476412" w:rsidRPr="00556ADB" w:rsidRDefault="00476412" w:rsidP="00AB6D88">
            <w:pPr>
              <w:ind w:left="840" w:hanging="840"/>
            </w:pPr>
            <w:r w:rsidRPr="00556ADB">
              <w:t xml:space="preserve"> Annual Geometric Mean</w:t>
            </w:r>
          </w:p>
        </w:tc>
        <w:tc>
          <w:tcPr>
            <w:tcW w:w="1147" w:type="dxa"/>
            <w:tcBorders>
              <w:top w:val="single" w:sz="6" w:space="0" w:color="000000"/>
              <w:left w:val="single" w:sz="6" w:space="0" w:color="000000"/>
            </w:tcBorders>
          </w:tcPr>
          <w:p w14:paraId="42D26E84" w14:textId="77777777" w:rsidR="00476412" w:rsidRPr="00492488" w:rsidRDefault="00476412" w:rsidP="00AB6D88">
            <w:pPr>
              <w:ind w:left="840" w:hanging="840"/>
              <w:jc w:val="center"/>
            </w:pPr>
            <w:r w:rsidRPr="00492488">
              <w:t>5</w:t>
            </w:r>
          </w:p>
        </w:tc>
        <w:tc>
          <w:tcPr>
            <w:tcW w:w="1350" w:type="dxa"/>
            <w:tcBorders>
              <w:top w:val="single" w:sz="6" w:space="0" w:color="000000"/>
            </w:tcBorders>
          </w:tcPr>
          <w:p w14:paraId="1DE6904D" w14:textId="77777777" w:rsidR="00476412" w:rsidRPr="00492488" w:rsidRDefault="00476412" w:rsidP="00AB6D88">
            <w:pPr>
              <w:ind w:left="840" w:hanging="840"/>
              <w:jc w:val="center"/>
            </w:pPr>
            <w:r w:rsidRPr="00492488">
              <w:t>19</w:t>
            </w:r>
          </w:p>
        </w:tc>
        <w:tc>
          <w:tcPr>
            <w:tcW w:w="1350" w:type="dxa"/>
            <w:tcBorders>
              <w:top w:val="single" w:sz="6" w:space="0" w:color="000000"/>
              <w:right w:val="single" w:sz="4" w:space="0" w:color="auto"/>
            </w:tcBorders>
          </w:tcPr>
          <w:p w14:paraId="313AA55A" w14:textId="77777777" w:rsidR="00476412" w:rsidRPr="00476412" w:rsidRDefault="0053739A" w:rsidP="00AB6D88">
            <w:pPr>
              <w:ind w:left="840" w:hanging="840"/>
              <w:jc w:val="center"/>
            </w:pPr>
            <w:r>
              <w:t>--</w:t>
            </w:r>
          </w:p>
        </w:tc>
      </w:tr>
      <w:tr w:rsidR="00476412" w:rsidRPr="00556ADB" w14:paraId="0D12B9C0" w14:textId="77777777" w:rsidTr="009A3C4C">
        <w:tc>
          <w:tcPr>
            <w:tcW w:w="2880" w:type="dxa"/>
            <w:tcBorders>
              <w:left w:val="single" w:sz="4" w:space="0" w:color="auto"/>
              <w:bottom w:val="single" w:sz="6" w:space="0" w:color="000000"/>
              <w:right w:val="single" w:sz="6" w:space="0" w:color="000000"/>
            </w:tcBorders>
            <w:vAlign w:val="bottom"/>
          </w:tcPr>
          <w:p w14:paraId="68C67649" w14:textId="77777777" w:rsidR="00476412" w:rsidRPr="00556ADB" w:rsidRDefault="00476412" w:rsidP="00AB6D88">
            <w:pPr>
              <w:ind w:left="840" w:hanging="840"/>
            </w:pPr>
            <w:r w:rsidRPr="00556ADB">
              <w:t xml:space="preserve"> 24-Hour Maximum</w:t>
            </w:r>
          </w:p>
        </w:tc>
        <w:tc>
          <w:tcPr>
            <w:tcW w:w="1147" w:type="dxa"/>
            <w:tcBorders>
              <w:left w:val="single" w:sz="6" w:space="0" w:color="000000"/>
              <w:bottom w:val="single" w:sz="6" w:space="0" w:color="000000"/>
            </w:tcBorders>
          </w:tcPr>
          <w:p w14:paraId="20B4C788" w14:textId="77777777" w:rsidR="00476412" w:rsidRPr="00492488" w:rsidRDefault="00476412" w:rsidP="00AB6D88">
            <w:pPr>
              <w:ind w:left="840" w:hanging="840"/>
              <w:jc w:val="center"/>
            </w:pPr>
            <w:r w:rsidRPr="00492488">
              <w:t>10</w:t>
            </w:r>
          </w:p>
        </w:tc>
        <w:tc>
          <w:tcPr>
            <w:tcW w:w="1350" w:type="dxa"/>
            <w:tcBorders>
              <w:bottom w:val="single" w:sz="6" w:space="0" w:color="000000"/>
            </w:tcBorders>
          </w:tcPr>
          <w:p w14:paraId="52576D4B" w14:textId="77777777" w:rsidR="00476412" w:rsidRPr="00492488" w:rsidRDefault="00476412" w:rsidP="00AB6D88">
            <w:pPr>
              <w:ind w:left="840" w:hanging="840"/>
              <w:jc w:val="center"/>
            </w:pPr>
            <w:r w:rsidRPr="00492488">
              <w:t>37</w:t>
            </w:r>
          </w:p>
        </w:tc>
        <w:tc>
          <w:tcPr>
            <w:tcW w:w="1350" w:type="dxa"/>
            <w:tcBorders>
              <w:bottom w:val="single" w:sz="6" w:space="0" w:color="000000"/>
              <w:right w:val="single" w:sz="4" w:space="0" w:color="auto"/>
            </w:tcBorders>
          </w:tcPr>
          <w:p w14:paraId="7F08BB9F" w14:textId="77777777" w:rsidR="00476412" w:rsidRPr="00476412" w:rsidRDefault="0053739A" w:rsidP="00AB6D88">
            <w:pPr>
              <w:ind w:left="840" w:hanging="840"/>
              <w:jc w:val="center"/>
            </w:pPr>
            <w:r>
              <w:t>--</w:t>
            </w:r>
          </w:p>
        </w:tc>
      </w:tr>
      <w:tr w:rsidR="00476412" w:rsidRPr="00556ADB" w14:paraId="2C6B6F5F" w14:textId="77777777" w:rsidTr="009A3C4C">
        <w:trPr>
          <w:trHeight w:val="390"/>
        </w:trPr>
        <w:tc>
          <w:tcPr>
            <w:tcW w:w="2880" w:type="dxa"/>
            <w:tcBorders>
              <w:left w:val="single" w:sz="4" w:space="0" w:color="auto"/>
              <w:bottom w:val="single" w:sz="4" w:space="0" w:color="auto"/>
              <w:right w:val="single" w:sz="6" w:space="0" w:color="000000"/>
            </w:tcBorders>
            <w:vAlign w:val="bottom"/>
          </w:tcPr>
          <w:p w14:paraId="226CBF50" w14:textId="77777777" w:rsidR="00EE3577" w:rsidRDefault="00EE3577" w:rsidP="00AB6D88">
            <w:pPr>
              <w:ind w:left="835" w:hanging="835"/>
              <w:rPr>
                <w:b/>
                <w:i/>
              </w:rPr>
            </w:pPr>
          </w:p>
          <w:p w14:paraId="40F41B42" w14:textId="77777777" w:rsidR="00476412" w:rsidRPr="00F05676" w:rsidRDefault="00476412" w:rsidP="00AB6D88">
            <w:pPr>
              <w:ind w:left="835" w:hanging="835"/>
              <w:rPr>
                <w:b/>
                <w:i/>
              </w:rPr>
            </w:pPr>
            <w:r w:rsidRPr="00F05676">
              <w:rPr>
                <w:b/>
                <w:i/>
              </w:rPr>
              <w:t>Sulfur Dioxide:</w:t>
            </w:r>
          </w:p>
        </w:tc>
        <w:tc>
          <w:tcPr>
            <w:tcW w:w="1147" w:type="dxa"/>
            <w:tcBorders>
              <w:left w:val="single" w:sz="6" w:space="0" w:color="000000"/>
            </w:tcBorders>
          </w:tcPr>
          <w:p w14:paraId="6FC6797B" w14:textId="77777777" w:rsidR="00476412" w:rsidRPr="00492488" w:rsidRDefault="00476412" w:rsidP="00AB6D88">
            <w:pPr>
              <w:ind w:left="835" w:hanging="835"/>
              <w:jc w:val="center"/>
            </w:pPr>
          </w:p>
        </w:tc>
        <w:tc>
          <w:tcPr>
            <w:tcW w:w="1350" w:type="dxa"/>
          </w:tcPr>
          <w:p w14:paraId="2C2F60F7" w14:textId="77777777" w:rsidR="00476412" w:rsidRPr="00492488" w:rsidRDefault="00476412" w:rsidP="00AB6D88">
            <w:pPr>
              <w:ind w:left="835" w:hanging="835"/>
              <w:jc w:val="center"/>
            </w:pPr>
          </w:p>
        </w:tc>
        <w:tc>
          <w:tcPr>
            <w:tcW w:w="1350" w:type="dxa"/>
            <w:tcBorders>
              <w:right w:val="single" w:sz="4" w:space="0" w:color="auto"/>
            </w:tcBorders>
          </w:tcPr>
          <w:p w14:paraId="30A7B22F" w14:textId="77777777" w:rsidR="00476412" w:rsidRPr="00476412" w:rsidRDefault="00476412" w:rsidP="00AB6D88">
            <w:pPr>
              <w:ind w:left="835" w:hanging="835"/>
              <w:jc w:val="center"/>
            </w:pPr>
          </w:p>
        </w:tc>
      </w:tr>
      <w:tr w:rsidR="00476412" w:rsidRPr="00556ADB" w14:paraId="76C5F3E5" w14:textId="77777777" w:rsidTr="009A3C4C">
        <w:tc>
          <w:tcPr>
            <w:tcW w:w="2880" w:type="dxa"/>
            <w:tcBorders>
              <w:top w:val="single" w:sz="4" w:space="0" w:color="auto"/>
              <w:left w:val="single" w:sz="4" w:space="0" w:color="auto"/>
              <w:right w:val="single" w:sz="4" w:space="0" w:color="auto"/>
            </w:tcBorders>
            <w:vAlign w:val="bottom"/>
          </w:tcPr>
          <w:p w14:paraId="309C4F21" w14:textId="77777777" w:rsidR="00476412" w:rsidRPr="00556ADB" w:rsidRDefault="00476412" w:rsidP="00AB6D88">
            <w:pPr>
              <w:ind w:left="840" w:hanging="840"/>
            </w:pPr>
            <w:r w:rsidRPr="00556ADB">
              <w:t xml:space="preserve"> Annual Arithmetic Mean</w:t>
            </w:r>
          </w:p>
        </w:tc>
        <w:tc>
          <w:tcPr>
            <w:tcW w:w="1147" w:type="dxa"/>
            <w:tcBorders>
              <w:top w:val="single" w:sz="6" w:space="0" w:color="000000"/>
              <w:left w:val="single" w:sz="4" w:space="0" w:color="auto"/>
            </w:tcBorders>
          </w:tcPr>
          <w:p w14:paraId="779460A1" w14:textId="77777777" w:rsidR="00476412" w:rsidRPr="00556ADB" w:rsidRDefault="00476412" w:rsidP="00AB6D88">
            <w:pPr>
              <w:ind w:left="840" w:hanging="840"/>
              <w:jc w:val="center"/>
            </w:pPr>
            <w:r w:rsidRPr="00556ADB">
              <w:t>2</w:t>
            </w:r>
          </w:p>
        </w:tc>
        <w:tc>
          <w:tcPr>
            <w:tcW w:w="1350" w:type="dxa"/>
            <w:tcBorders>
              <w:top w:val="single" w:sz="6" w:space="0" w:color="000000"/>
            </w:tcBorders>
          </w:tcPr>
          <w:p w14:paraId="124BF0CF" w14:textId="77777777" w:rsidR="00476412" w:rsidRPr="00492488" w:rsidRDefault="00476412" w:rsidP="00AB6D88">
            <w:pPr>
              <w:ind w:left="840" w:hanging="840"/>
              <w:jc w:val="center"/>
            </w:pPr>
            <w:r w:rsidRPr="00492488">
              <w:t>2</w:t>
            </w:r>
            <w:r w:rsidRPr="00556ADB">
              <w:t>0</w:t>
            </w:r>
          </w:p>
        </w:tc>
        <w:tc>
          <w:tcPr>
            <w:tcW w:w="1350" w:type="dxa"/>
            <w:tcBorders>
              <w:top w:val="single" w:sz="6" w:space="0" w:color="000000"/>
              <w:right w:val="single" w:sz="4" w:space="0" w:color="auto"/>
            </w:tcBorders>
          </w:tcPr>
          <w:p w14:paraId="0661F378" w14:textId="77777777" w:rsidR="00476412" w:rsidRPr="00492488" w:rsidRDefault="00476412" w:rsidP="00AB6D88">
            <w:pPr>
              <w:ind w:left="840" w:hanging="840"/>
              <w:jc w:val="center"/>
            </w:pPr>
            <w:r w:rsidRPr="00492488">
              <w:t>8</w:t>
            </w:r>
            <w:r w:rsidRPr="00556ADB">
              <w:t>0</w:t>
            </w:r>
          </w:p>
        </w:tc>
      </w:tr>
      <w:tr w:rsidR="00476412" w:rsidRPr="00556ADB" w14:paraId="5548B795" w14:textId="77777777" w:rsidTr="009A3C4C">
        <w:tc>
          <w:tcPr>
            <w:tcW w:w="2880" w:type="dxa"/>
            <w:tcBorders>
              <w:left w:val="single" w:sz="4" w:space="0" w:color="auto"/>
              <w:right w:val="single" w:sz="4" w:space="0" w:color="auto"/>
            </w:tcBorders>
            <w:vAlign w:val="bottom"/>
          </w:tcPr>
          <w:p w14:paraId="232A85F7" w14:textId="77777777" w:rsidR="00476412" w:rsidRPr="00556ADB" w:rsidRDefault="00476412" w:rsidP="00AB6D88">
            <w:pPr>
              <w:ind w:left="840" w:hanging="840"/>
            </w:pPr>
            <w:r w:rsidRPr="00556ADB">
              <w:t xml:space="preserve"> 24-Hour Maximum</w:t>
            </w:r>
          </w:p>
        </w:tc>
        <w:tc>
          <w:tcPr>
            <w:tcW w:w="1147" w:type="dxa"/>
            <w:tcBorders>
              <w:left w:val="single" w:sz="4" w:space="0" w:color="auto"/>
            </w:tcBorders>
          </w:tcPr>
          <w:p w14:paraId="31620C41" w14:textId="77777777" w:rsidR="00476412" w:rsidRPr="00492488" w:rsidRDefault="00476412" w:rsidP="00AB6D88">
            <w:pPr>
              <w:ind w:left="840" w:hanging="840"/>
              <w:jc w:val="center"/>
            </w:pPr>
            <w:r w:rsidRPr="00AE683D">
              <w:t>5</w:t>
            </w:r>
          </w:p>
        </w:tc>
        <w:tc>
          <w:tcPr>
            <w:tcW w:w="1350" w:type="dxa"/>
          </w:tcPr>
          <w:p w14:paraId="197CE3F2" w14:textId="77777777" w:rsidR="00476412" w:rsidRPr="00492488" w:rsidRDefault="00476412" w:rsidP="00AB6D88">
            <w:pPr>
              <w:ind w:left="840" w:hanging="840"/>
              <w:jc w:val="center"/>
            </w:pPr>
            <w:r w:rsidRPr="00492488">
              <w:t>91</w:t>
            </w:r>
          </w:p>
        </w:tc>
        <w:tc>
          <w:tcPr>
            <w:tcW w:w="1350" w:type="dxa"/>
            <w:tcBorders>
              <w:right w:val="single" w:sz="4" w:space="0" w:color="auto"/>
            </w:tcBorders>
          </w:tcPr>
          <w:p w14:paraId="67417595" w14:textId="66592F75" w:rsidR="00476412" w:rsidRPr="007D476E" w:rsidRDefault="00476412" w:rsidP="00AB6D88">
            <w:pPr>
              <w:ind w:left="840" w:hanging="840"/>
              <w:jc w:val="center"/>
            </w:pPr>
            <w:r w:rsidRPr="00476412">
              <w:t>105</w:t>
            </w:r>
          </w:p>
        </w:tc>
      </w:tr>
      <w:tr w:rsidR="00476412" w:rsidRPr="00556ADB" w14:paraId="1CA41ED7" w14:textId="77777777" w:rsidTr="009A3C4C">
        <w:tc>
          <w:tcPr>
            <w:tcW w:w="2880" w:type="dxa"/>
            <w:tcBorders>
              <w:left w:val="single" w:sz="4" w:space="0" w:color="auto"/>
              <w:right w:val="single" w:sz="4" w:space="0" w:color="auto"/>
            </w:tcBorders>
            <w:vAlign w:val="bottom"/>
          </w:tcPr>
          <w:p w14:paraId="61B7C2E4" w14:textId="77777777" w:rsidR="00476412" w:rsidRPr="00556ADB" w:rsidRDefault="00476412" w:rsidP="00AB6D88">
            <w:pPr>
              <w:ind w:left="840" w:hanging="840"/>
            </w:pPr>
            <w:r w:rsidRPr="00556ADB">
              <w:t xml:space="preserve"> 3-Hour Maximum</w:t>
            </w:r>
          </w:p>
        </w:tc>
        <w:tc>
          <w:tcPr>
            <w:tcW w:w="1147" w:type="dxa"/>
            <w:tcBorders>
              <w:left w:val="single" w:sz="4" w:space="0" w:color="auto"/>
            </w:tcBorders>
          </w:tcPr>
          <w:p w14:paraId="61BC9704" w14:textId="77777777" w:rsidR="00476412" w:rsidRPr="00492488" w:rsidRDefault="00476412" w:rsidP="00AB6D88">
            <w:pPr>
              <w:ind w:left="840" w:hanging="840"/>
              <w:jc w:val="center"/>
            </w:pPr>
            <w:r w:rsidRPr="00AE683D">
              <w:t>25</w:t>
            </w:r>
          </w:p>
        </w:tc>
        <w:tc>
          <w:tcPr>
            <w:tcW w:w="1350" w:type="dxa"/>
          </w:tcPr>
          <w:p w14:paraId="1AFA6DC4" w14:textId="77777777" w:rsidR="00476412" w:rsidRPr="00492488" w:rsidRDefault="00476412" w:rsidP="00AB6D88">
            <w:pPr>
              <w:ind w:left="840" w:hanging="840"/>
              <w:jc w:val="center"/>
            </w:pPr>
            <w:r w:rsidRPr="00492488">
              <w:t>512</w:t>
            </w:r>
          </w:p>
        </w:tc>
        <w:tc>
          <w:tcPr>
            <w:tcW w:w="1350" w:type="dxa"/>
            <w:tcBorders>
              <w:right w:val="single" w:sz="4" w:space="0" w:color="auto"/>
            </w:tcBorders>
          </w:tcPr>
          <w:p w14:paraId="1451AE9B" w14:textId="77777777" w:rsidR="00476412" w:rsidRPr="007D476E" w:rsidRDefault="00476412" w:rsidP="00AB6D88">
            <w:pPr>
              <w:ind w:left="840" w:hanging="840"/>
              <w:jc w:val="center"/>
            </w:pPr>
            <w:r w:rsidRPr="00476412">
              <w:t>1,300</w:t>
            </w:r>
          </w:p>
        </w:tc>
      </w:tr>
      <w:tr w:rsidR="00476412" w:rsidRPr="00556ADB" w14:paraId="1CD97244" w14:textId="77777777" w:rsidTr="009A3C4C">
        <w:tc>
          <w:tcPr>
            <w:tcW w:w="2880" w:type="dxa"/>
            <w:tcBorders>
              <w:left w:val="single" w:sz="4" w:space="0" w:color="auto"/>
              <w:bottom w:val="single" w:sz="4" w:space="0" w:color="auto"/>
              <w:right w:val="single" w:sz="4" w:space="0" w:color="auto"/>
            </w:tcBorders>
            <w:vAlign w:val="bottom"/>
          </w:tcPr>
          <w:p w14:paraId="5F3FF03A" w14:textId="77777777" w:rsidR="00476412" w:rsidRPr="00556ADB" w:rsidRDefault="00476412" w:rsidP="00AB6D88">
            <w:pPr>
              <w:ind w:left="840" w:hanging="840"/>
            </w:pPr>
            <w:r w:rsidRPr="00556ADB">
              <w:t xml:space="preserve"> 1-Hour Maximum</w:t>
            </w:r>
          </w:p>
        </w:tc>
        <w:tc>
          <w:tcPr>
            <w:tcW w:w="1147" w:type="dxa"/>
            <w:tcBorders>
              <w:left w:val="single" w:sz="4" w:space="0" w:color="auto"/>
              <w:bottom w:val="single" w:sz="6" w:space="0" w:color="000000"/>
            </w:tcBorders>
          </w:tcPr>
          <w:p w14:paraId="32EFBDE8" w14:textId="77777777" w:rsidR="00476412" w:rsidRPr="00492488" w:rsidDel="009214E0" w:rsidRDefault="003B23BA" w:rsidP="00AB6D88">
            <w:pPr>
              <w:ind w:left="840" w:hanging="840"/>
              <w:jc w:val="center"/>
            </w:pPr>
            <w:r>
              <w:t>--</w:t>
            </w:r>
          </w:p>
        </w:tc>
        <w:tc>
          <w:tcPr>
            <w:tcW w:w="1350" w:type="dxa"/>
            <w:tcBorders>
              <w:bottom w:val="single" w:sz="6" w:space="0" w:color="000000"/>
            </w:tcBorders>
          </w:tcPr>
          <w:p w14:paraId="32554925" w14:textId="77777777" w:rsidR="00476412" w:rsidRPr="00492488" w:rsidDel="009214E0" w:rsidRDefault="003B23BA" w:rsidP="00AB6D88">
            <w:pPr>
              <w:ind w:left="840" w:hanging="840"/>
              <w:jc w:val="center"/>
            </w:pPr>
            <w:r>
              <w:t>--</w:t>
            </w:r>
          </w:p>
        </w:tc>
        <w:tc>
          <w:tcPr>
            <w:tcW w:w="1350" w:type="dxa"/>
            <w:tcBorders>
              <w:bottom w:val="single" w:sz="6" w:space="0" w:color="000000"/>
              <w:right w:val="single" w:sz="4" w:space="0" w:color="auto"/>
            </w:tcBorders>
          </w:tcPr>
          <w:p w14:paraId="0CE3DE72" w14:textId="03991284" w:rsidR="00476412" w:rsidRPr="00476412" w:rsidDel="00B60C7D" w:rsidRDefault="003B23BA" w:rsidP="00AB6D88">
            <w:pPr>
              <w:ind w:left="840" w:hanging="840"/>
              <w:jc w:val="center"/>
            </w:pPr>
            <w:r>
              <w:t>19</w:t>
            </w:r>
            <w:r w:rsidR="00436B8F">
              <w:t>6</w:t>
            </w:r>
          </w:p>
        </w:tc>
      </w:tr>
      <w:tr w:rsidR="00476412" w:rsidRPr="00556ADB" w14:paraId="1641E378" w14:textId="77777777" w:rsidTr="009A3C4C">
        <w:trPr>
          <w:trHeight w:val="399"/>
        </w:trPr>
        <w:tc>
          <w:tcPr>
            <w:tcW w:w="2880" w:type="dxa"/>
            <w:tcBorders>
              <w:top w:val="single" w:sz="4" w:space="0" w:color="auto"/>
              <w:left w:val="single" w:sz="4" w:space="0" w:color="auto"/>
              <w:right w:val="single" w:sz="6" w:space="0" w:color="000000"/>
            </w:tcBorders>
            <w:vAlign w:val="bottom"/>
          </w:tcPr>
          <w:p w14:paraId="5D014CAE" w14:textId="77777777" w:rsidR="00EE3577" w:rsidRDefault="00EE3577" w:rsidP="00483975">
            <w:pPr>
              <w:ind w:left="835" w:hanging="835"/>
              <w:rPr>
                <w:b/>
                <w:i/>
              </w:rPr>
            </w:pPr>
          </w:p>
          <w:p w14:paraId="15E78EF9" w14:textId="067E96B1" w:rsidR="00476412" w:rsidRPr="00F05676" w:rsidRDefault="00476412" w:rsidP="00483975">
            <w:pPr>
              <w:ind w:left="835" w:hanging="835"/>
              <w:rPr>
                <w:b/>
                <w:i/>
              </w:rPr>
            </w:pPr>
            <w:r w:rsidRPr="00F05676">
              <w:rPr>
                <w:b/>
                <w:i/>
              </w:rPr>
              <w:t xml:space="preserve">Nitrogen </w:t>
            </w:r>
            <w:r w:rsidR="001B4E26" w:rsidRPr="00F05676">
              <w:rPr>
                <w:b/>
                <w:i/>
              </w:rPr>
              <w:t>Dioxide</w:t>
            </w:r>
            <w:r w:rsidRPr="00F05676">
              <w:rPr>
                <w:b/>
                <w:i/>
              </w:rPr>
              <w:t>:</w:t>
            </w:r>
          </w:p>
        </w:tc>
        <w:tc>
          <w:tcPr>
            <w:tcW w:w="1147" w:type="dxa"/>
            <w:tcBorders>
              <w:left w:val="single" w:sz="6" w:space="0" w:color="000000"/>
            </w:tcBorders>
          </w:tcPr>
          <w:p w14:paraId="6F649F2D" w14:textId="77777777" w:rsidR="00476412" w:rsidRPr="00492488" w:rsidRDefault="00476412" w:rsidP="00AB6D88">
            <w:pPr>
              <w:ind w:left="835" w:hanging="835"/>
              <w:jc w:val="center"/>
            </w:pPr>
          </w:p>
        </w:tc>
        <w:tc>
          <w:tcPr>
            <w:tcW w:w="1350" w:type="dxa"/>
          </w:tcPr>
          <w:p w14:paraId="023B6E73" w14:textId="77777777" w:rsidR="00476412" w:rsidRPr="00492488" w:rsidRDefault="00476412" w:rsidP="00AB6D88">
            <w:pPr>
              <w:ind w:left="835" w:hanging="835"/>
              <w:jc w:val="center"/>
            </w:pPr>
          </w:p>
        </w:tc>
        <w:tc>
          <w:tcPr>
            <w:tcW w:w="1350" w:type="dxa"/>
            <w:tcBorders>
              <w:right w:val="single" w:sz="4" w:space="0" w:color="auto"/>
            </w:tcBorders>
          </w:tcPr>
          <w:p w14:paraId="3D08D0E0" w14:textId="77777777" w:rsidR="00476412" w:rsidRPr="00476412" w:rsidRDefault="00476412" w:rsidP="00AB6D88">
            <w:pPr>
              <w:ind w:left="835" w:hanging="835"/>
              <w:jc w:val="center"/>
            </w:pPr>
          </w:p>
        </w:tc>
      </w:tr>
      <w:tr w:rsidR="00476412" w:rsidRPr="00556ADB" w14:paraId="5DDAA19F" w14:textId="77777777" w:rsidTr="009A3C4C">
        <w:tc>
          <w:tcPr>
            <w:tcW w:w="2880" w:type="dxa"/>
            <w:tcBorders>
              <w:top w:val="single" w:sz="6" w:space="0" w:color="000000"/>
              <w:left w:val="single" w:sz="4" w:space="0" w:color="auto"/>
              <w:right w:val="single" w:sz="6" w:space="0" w:color="000000"/>
            </w:tcBorders>
            <w:vAlign w:val="bottom"/>
          </w:tcPr>
          <w:p w14:paraId="78C01EA6" w14:textId="77777777" w:rsidR="00476412" w:rsidRPr="00556ADB" w:rsidRDefault="00476412" w:rsidP="00AB6D88">
            <w:pPr>
              <w:ind w:left="840" w:hanging="840"/>
            </w:pPr>
            <w:r w:rsidRPr="00556ADB">
              <w:t xml:space="preserve"> Annual Arithmetic Mean</w:t>
            </w:r>
          </w:p>
        </w:tc>
        <w:tc>
          <w:tcPr>
            <w:tcW w:w="1147" w:type="dxa"/>
            <w:tcBorders>
              <w:top w:val="single" w:sz="6" w:space="0" w:color="000000"/>
              <w:left w:val="single" w:sz="6" w:space="0" w:color="000000"/>
            </w:tcBorders>
          </w:tcPr>
          <w:p w14:paraId="7D64BF03" w14:textId="77777777" w:rsidR="00476412" w:rsidRPr="00492488" w:rsidRDefault="00476412" w:rsidP="00AB6D88">
            <w:pPr>
              <w:ind w:left="840" w:hanging="840"/>
              <w:jc w:val="center"/>
            </w:pPr>
            <w:r w:rsidRPr="00492488">
              <w:t>2.5</w:t>
            </w:r>
          </w:p>
        </w:tc>
        <w:tc>
          <w:tcPr>
            <w:tcW w:w="1350" w:type="dxa"/>
            <w:tcBorders>
              <w:top w:val="single" w:sz="6" w:space="0" w:color="000000"/>
            </w:tcBorders>
          </w:tcPr>
          <w:p w14:paraId="1D00C7E9" w14:textId="77777777" w:rsidR="00476412" w:rsidRPr="00492488" w:rsidRDefault="00476412" w:rsidP="00AB6D88">
            <w:pPr>
              <w:ind w:left="840" w:hanging="840"/>
              <w:jc w:val="center"/>
            </w:pPr>
            <w:r w:rsidRPr="00492488">
              <w:t>25</w:t>
            </w:r>
          </w:p>
        </w:tc>
        <w:tc>
          <w:tcPr>
            <w:tcW w:w="1350" w:type="dxa"/>
            <w:tcBorders>
              <w:top w:val="single" w:sz="6" w:space="0" w:color="000000"/>
              <w:right w:val="single" w:sz="4" w:space="0" w:color="auto"/>
            </w:tcBorders>
          </w:tcPr>
          <w:p w14:paraId="4201E5D3" w14:textId="4167A917" w:rsidR="00476412" w:rsidRPr="007D476E" w:rsidRDefault="00237C22" w:rsidP="00AB6D88">
            <w:pPr>
              <w:ind w:left="840" w:hanging="840"/>
              <w:jc w:val="center"/>
            </w:pPr>
            <w:r>
              <w:t>57</w:t>
            </w:r>
          </w:p>
        </w:tc>
      </w:tr>
      <w:tr w:rsidR="00476412" w:rsidRPr="00556ADB" w14:paraId="7AD72554" w14:textId="77777777" w:rsidTr="009A3C4C">
        <w:tc>
          <w:tcPr>
            <w:tcW w:w="2880" w:type="dxa"/>
            <w:tcBorders>
              <w:left w:val="single" w:sz="4" w:space="0" w:color="auto"/>
              <w:bottom w:val="single" w:sz="6" w:space="0" w:color="000000"/>
              <w:right w:val="single" w:sz="6" w:space="0" w:color="000000"/>
            </w:tcBorders>
          </w:tcPr>
          <w:p w14:paraId="27774607" w14:textId="5581B08D" w:rsidR="00476412" w:rsidRPr="00556ADB" w:rsidRDefault="00476412" w:rsidP="001D05B9">
            <w:pPr>
              <w:ind w:left="840" w:hanging="840"/>
            </w:pPr>
            <w:r w:rsidRPr="00556ADB">
              <w:t xml:space="preserve"> 1-Hour Maximum</w:t>
            </w:r>
            <w:r w:rsidR="001D05B9" w:rsidRPr="006A68E4">
              <w:rPr>
                <w:vertAlign w:val="superscript"/>
              </w:rPr>
              <w:t>3</w:t>
            </w:r>
          </w:p>
        </w:tc>
        <w:tc>
          <w:tcPr>
            <w:tcW w:w="1147" w:type="dxa"/>
            <w:tcBorders>
              <w:left w:val="single" w:sz="6" w:space="0" w:color="000000"/>
              <w:bottom w:val="single" w:sz="6" w:space="0" w:color="000000"/>
            </w:tcBorders>
          </w:tcPr>
          <w:p w14:paraId="25C63849" w14:textId="77777777" w:rsidR="00476412" w:rsidRPr="00492488" w:rsidRDefault="00476412" w:rsidP="00AB6D88">
            <w:pPr>
              <w:ind w:left="840" w:hanging="840"/>
              <w:jc w:val="center"/>
            </w:pPr>
            <w:r w:rsidRPr="00492488">
              <w:t>10</w:t>
            </w:r>
          </w:p>
        </w:tc>
        <w:tc>
          <w:tcPr>
            <w:tcW w:w="1350" w:type="dxa"/>
            <w:tcBorders>
              <w:bottom w:val="single" w:sz="6" w:space="0" w:color="000000"/>
            </w:tcBorders>
          </w:tcPr>
          <w:p w14:paraId="40D20AD2" w14:textId="174E02A7" w:rsidR="00476412" w:rsidRPr="007D476E" w:rsidRDefault="00476412" w:rsidP="00667D53">
            <w:pPr>
              <w:ind w:left="840" w:hanging="840"/>
              <w:jc w:val="center"/>
            </w:pPr>
            <w:r w:rsidRPr="00492488">
              <w:t>100</w:t>
            </w:r>
            <w:r w:rsidR="00EE3577">
              <w:t>-</w:t>
            </w:r>
            <w:r w:rsidR="00A0448C">
              <w:t>18</w:t>
            </w:r>
            <w:r w:rsidR="00667D53">
              <w:t>8</w:t>
            </w:r>
          </w:p>
        </w:tc>
        <w:tc>
          <w:tcPr>
            <w:tcW w:w="1350" w:type="dxa"/>
            <w:tcBorders>
              <w:bottom w:val="single" w:sz="6" w:space="0" w:color="000000"/>
              <w:right w:val="single" w:sz="4" w:space="0" w:color="auto"/>
            </w:tcBorders>
          </w:tcPr>
          <w:p w14:paraId="54F5F57A" w14:textId="26C86C47" w:rsidR="00476412" w:rsidRPr="0053739A" w:rsidRDefault="007E1683" w:rsidP="00667D53">
            <w:pPr>
              <w:ind w:left="840" w:hanging="840"/>
              <w:jc w:val="center"/>
            </w:pPr>
            <w:r>
              <w:t>18</w:t>
            </w:r>
            <w:r w:rsidR="00667D53">
              <w:t>8</w:t>
            </w:r>
          </w:p>
        </w:tc>
      </w:tr>
      <w:tr w:rsidR="00476412" w:rsidRPr="00556ADB" w14:paraId="5FAE6319" w14:textId="77777777" w:rsidTr="009A3C4C">
        <w:trPr>
          <w:trHeight w:val="363"/>
        </w:trPr>
        <w:tc>
          <w:tcPr>
            <w:tcW w:w="2880" w:type="dxa"/>
            <w:tcBorders>
              <w:left w:val="single" w:sz="4" w:space="0" w:color="auto"/>
              <w:right w:val="single" w:sz="6" w:space="0" w:color="000000"/>
            </w:tcBorders>
            <w:vAlign w:val="bottom"/>
          </w:tcPr>
          <w:p w14:paraId="2AC009D1" w14:textId="77777777" w:rsidR="00EE3577" w:rsidRDefault="00EE3577" w:rsidP="00AB6D88">
            <w:pPr>
              <w:ind w:left="835" w:hanging="835"/>
              <w:rPr>
                <w:b/>
                <w:i/>
              </w:rPr>
            </w:pPr>
          </w:p>
          <w:p w14:paraId="24456BF9" w14:textId="77777777" w:rsidR="00476412" w:rsidRPr="00F05676" w:rsidRDefault="00476412" w:rsidP="00AB6D88">
            <w:pPr>
              <w:ind w:left="835" w:hanging="835"/>
              <w:rPr>
                <w:b/>
                <w:i/>
              </w:rPr>
            </w:pPr>
            <w:r w:rsidRPr="00F05676">
              <w:rPr>
                <w:b/>
                <w:i/>
              </w:rPr>
              <w:t>Carbon Monoxide:</w:t>
            </w:r>
          </w:p>
        </w:tc>
        <w:tc>
          <w:tcPr>
            <w:tcW w:w="1147" w:type="dxa"/>
            <w:tcBorders>
              <w:left w:val="single" w:sz="6" w:space="0" w:color="000000"/>
            </w:tcBorders>
          </w:tcPr>
          <w:p w14:paraId="164BE928" w14:textId="77777777" w:rsidR="00476412" w:rsidRPr="00492488" w:rsidRDefault="00476412" w:rsidP="00AB6D88">
            <w:pPr>
              <w:ind w:left="835" w:hanging="835"/>
              <w:jc w:val="center"/>
            </w:pPr>
          </w:p>
        </w:tc>
        <w:tc>
          <w:tcPr>
            <w:tcW w:w="1350" w:type="dxa"/>
          </w:tcPr>
          <w:p w14:paraId="793C51C2" w14:textId="77777777" w:rsidR="00476412" w:rsidRPr="00492488" w:rsidRDefault="00476412" w:rsidP="00AB6D88">
            <w:pPr>
              <w:ind w:left="835" w:hanging="835"/>
              <w:jc w:val="center"/>
            </w:pPr>
          </w:p>
        </w:tc>
        <w:tc>
          <w:tcPr>
            <w:tcW w:w="1350" w:type="dxa"/>
            <w:tcBorders>
              <w:right w:val="single" w:sz="4" w:space="0" w:color="auto"/>
            </w:tcBorders>
          </w:tcPr>
          <w:p w14:paraId="1A198274" w14:textId="77777777" w:rsidR="00476412" w:rsidRPr="00476412" w:rsidRDefault="00476412" w:rsidP="00AB6D88">
            <w:pPr>
              <w:ind w:left="835" w:hanging="835"/>
              <w:jc w:val="center"/>
            </w:pPr>
          </w:p>
        </w:tc>
      </w:tr>
      <w:tr w:rsidR="00476412" w:rsidRPr="00556ADB" w14:paraId="3773A5F4" w14:textId="77777777" w:rsidTr="009A3C4C">
        <w:tc>
          <w:tcPr>
            <w:tcW w:w="2880" w:type="dxa"/>
            <w:tcBorders>
              <w:top w:val="single" w:sz="6" w:space="0" w:color="000000"/>
              <w:left w:val="single" w:sz="4" w:space="0" w:color="auto"/>
              <w:right w:val="single" w:sz="6" w:space="0" w:color="000000"/>
            </w:tcBorders>
            <w:vAlign w:val="bottom"/>
          </w:tcPr>
          <w:p w14:paraId="401C9072" w14:textId="77777777" w:rsidR="00476412" w:rsidRPr="00556ADB" w:rsidRDefault="00476412" w:rsidP="00AB6D88">
            <w:pPr>
              <w:ind w:left="840" w:hanging="840"/>
            </w:pPr>
            <w:r w:rsidRPr="00556ADB">
              <w:t xml:space="preserve"> 8-Hour Maximum</w:t>
            </w:r>
          </w:p>
        </w:tc>
        <w:tc>
          <w:tcPr>
            <w:tcW w:w="1147" w:type="dxa"/>
            <w:tcBorders>
              <w:top w:val="single" w:sz="6" w:space="0" w:color="000000"/>
              <w:left w:val="single" w:sz="6" w:space="0" w:color="000000"/>
            </w:tcBorders>
          </w:tcPr>
          <w:p w14:paraId="22DE4181" w14:textId="77777777" w:rsidR="00476412" w:rsidRPr="00AE683D" w:rsidRDefault="00476412" w:rsidP="00AB6D88">
            <w:pPr>
              <w:ind w:left="840" w:hanging="840"/>
              <w:jc w:val="center"/>
            </w:pPr>
            <w:r w:rsidRPr="00AE683D">
              <w:t>200</w:t>
            </w:r>
          </w:p>
        </w:tc>
        <w:tc>
          <w:tcPr>
            <w:tcW w:w="1350" w:type="dxa"/>
            <w:tcBorders>
              <w:top w:val="single" w:sz="6" w:space="0" w:color="000000"/>
            </w:tcBorders>
          </w:tcPr>
          <w:p w14:paraId="4383AE68" w14:textId="77777777" w:rsidR="00476412" w:rsidRPr="00AE683D" w:rsidRDefault="00476412" w:rsidP="00AB6D88">
            <w:pPr>
              <w:ind w:left="840" w:hanging="840"/>
              <w:jc w:val="center"/>
            </w:pPr>
            <w:r w:rsidRPr="00AE683D">
              <w:t>2,500</w:t>
            </w:r>
          </w:p>
        </w:tc>
        <w:tc>
          <w:tcPr>
            <w:tcW w:w="1350" w:type="dxa"/>
            <w:tcBorders>
              <w:top w:val="single" w:sz="6" w:space="0" w:color="000000"/>
              <w:right w:val="single" w:sz="4" w:space="0" w:color="auto"/>
            </w:tcBorders>
          </w:tcPr>
          <w:p w14:paraId="2DC69CA1" w14:textId="77777777" w:rsidR="00476412" w:rsidRPr="00AE683D" w:rsidRDefault="00177D07" w:rsidP="00AB6D88">
            <w:pPr>
              <w:ind w:left="840" w:hanging="840"/>
              <w:jc w:val="center"/>
            </w:pPr>
            <w:r>
              <w:t>10,000</w:t>
            </w:r>
          </w:p>
        </w:tc>
      </w:tr>
      <w:tr w:rsidR="00476412" w:rsidRPr="00556ADB" w14:paraId="18AB523E" w14:textId="77777777" w:rsidTr="009A3C4C">
        <w:tc>
          <w:tcPr>
            <w:tcW w:w="2880" w:type="dxa"/>
            <w:tcBorders>
              <w:left w:val="single" w:sz="4" w:space="0" w:color="auto"/>
              <w:bottom w:val="single" w:sz="6" w:space="0" w:color="000000"/>
              <w:right w:val="single" w:sz="6" w:space="0" w:color="000000"/>
            </w:tcBorders>
            <w:vAlign w:val="bottom"/>
          </w:tcPr>
          <w:p w14:paraId="6AB256D5" w14:textId="71EEAEB1" w:rsidR="00476412" w:rsidRPr="00556ADB" w:rsidRDefault="00476412" w:rsidP="00177D07">
            <w:pPr>
              <w:ind w:left="840" w:hanging="840"/>
            </w:pPr>
            <w:r w:rsidRPr="00556ADB">
              <w:t xml:space="preserve"> 1-Hour Maximum</w:t>
            </w:r>
          </w:p>
        </w:tc>
        <w:tc>
          <w:tcPr>
            <w:tcW w:w="1147" w:type="dxa"/>
            <w:tcBorders>
              <w:left w:val="single" w:sz="6" w:space="0" w:color="000000"/>
              <w:bottom w:val="single" w:sz="6" w:space="0" w:color="000000"/>
            </w:tcBorders>
          </w:tcPr>
          <w:p w14:paraId="56BA175F" w14:textId="77777777" w:rsidR="00476412" w:rsidRPr="00AE683D" w:rsidRDefault="00476412" w:rsidP="00AB6D88">
            <w:pPr>
              <w:ind w:left="840" w:hanging="840"/>
              <w:jc w:val="center"/>
            </w:pPr>
            <w:r w:rsidRPr="00AE683D">
              <w:t>800</w:t>
            </w:r>
          </w:p>
        </w:tc>
        <w:tc>
          <w:tcPr>
            <w:tcW w:w="1350" w:type="dxa"/>
            <w:tcBorders>
              <w:bottom w:val="single" w:sz="6" w:space="0" w:color="000000"/>
            </w:tcBorders>
          </w:tcPr>
          <w:p w14:paraId="3C1F8A3A" w14:textId="77777777" w:rsidR="00476412" w:rsidRPr="00492488" w:rsidRDefault="00476412" w:rsidP="00AB6D88">
            <w:pPr>
              <w:ind w:left="840" w:hanging="840"/>
              <w:jc w:val="center"/>
            </w:pPr>
            <w:r w:rsidRPr="00492488">
              <w:t>10,000</w:t>
            </w:r>
          </w:p>
        </w:tc>
        <w:tc>
          <w:tcPr>
            <w:tcW w:w="1350" w:type="dxa"/>
            <w:tcBorders>
              <w:bottom w:val="single" w:sz="6" w:space="0" w:color="000000"/>
              <w:right w:val="single" w:sz="4" w:space="0" w:color="auto"/>
            </w:tcBorders>
          </w:tcPr>
          <w:p w14:paraId="2106B06F" w14:textId="6CB0A067" w:rsidR="00476412" w:rsidRPr="007D476E" w:rsidRDefault="006D7C63" w:rsidP="00AB6D88">
            <w:pPr>
              <w:ind w:left="840" w:hanging="840"/>
              <w:jc w:val="center"/>
            </w:pPr>
            <w:r>
              <w:t>23,000</w:t>
            </w:r>
          </w:p>
        </w:tc>
      </w:tr>
      <w:tr w:rsidR="00476412" w:rsidRPr="00556ADB" w14:paraId="2F85531C" w14:textId="77777777" w:rsidTr="009A3C4C">
        <w:trPr>
          <w:trHeight w:val="408"/>
        </w:trPr>
        <w:tc>
          <w:tcPr>
            <w:tcW w:w="2880" w:type="dxa"/>
            <w:tcBorders>
              <w:left w:val="single" w:sz="4" w:space="0" w:color="auto"/>
              <w:right w:val="single" w:sz="6" w:space="0" w:color="000000"/>
            </w:tcBorders>
            <w:vAlign w:val="bottom"/>
          </w:tcPr>
          <w:p w14:paraId="7F7EC5AC" w14:textId="77777777" w:rsidR="00EE3577" w:rsidRDefault="00EE3577" w:rsidP="006B2A74">
            <w:pPr>
              <w:ind w:left="835" w:hanging="835"/>
              <w:rPr>
                <w:b/>
                <w:i/>
              </w:rPr>
            </w:pPr>
          </w:p>
          <w:p w14:paraId="3D725DAE" w14:textId="4F068308" w:rsidR="00476412" w:rsidRPr="00F05676" w:rsidRDefault="00476412" w:rsidP="006B2A74">
            <w:pPr>
              <w:ind w:left="835" w:hanging="835"/>
              <w:rPr>
                <w:b/>
                <w:i/>
              </w:rPr>
            </w:pPr>
            <w:r w:rsidRPr="00F05676">
              <w:rPr>
                <w:b/>
                <w:i/>
              </w:rPr>
              <w:t>Reactive Organic Compounds:</w:t>
            </w:r>
          </w:p>
        </w:tc>
        <w:tc>
          <w:tcPr>
            <w:tcW w:w="1147" w:type="dxa"/>
            <w:tcBorders>
              <w:left w:val="single" w:sz="6" w:space="0" w:color="000000"/>
            </w:tcBorders>
          </w:tcPr>
          <w:p w14:paraId="6780C256" w14:textId="77777777" w:rsidR="00476412" w:rsidRPr="006B2A74" w:rsidRDefault="00476412" w:rsidP="00AB6D88">
            <w:pPr>
              <w:ind w:left="835" w:hanging="835"/>
              <w:jc w:val="center"/>
            </w:pPr>
          </w:p>
        </w:tc>
        <w:tc>
          <w:tcPr>
            <w:tcW w:w="1350" w:type="dxa"/>
          </w:tcPr>
          <w:p w14:paraId="51AC4D2F" w14:textId="77777777" w:rsidR="00476412" w:rsidRPr="00492488" w:rsidRDefault="00476412" w:rsidP="00AB6D88">
            <w:pPr>
              <w:ind w:left="835" w:hanging="835"/>
              <w:jc w:val="center"/>
            </w:pPr>
          </w:p>
        </w:tc>
        <w:tc>
          <w:tcPr>
            <w:tcW w:w="1350" w:type="dxa"/>
            <w:tcBorders>
              <w:right w:val="single" w:sz="4" w:space="0" w:color="auto"/>
            </w:tcBorders>
          </w:tcPr>
          <w:p w14:paraId="5A19EC26" w14:textId="77777777" w:rsidR="00476412" w:rsidRPr="00476412" w:rsidRDefault="00476412" w:rsidP="00AB6D88">
            <w:pPr>
              <w:ind w:left="835" w:hanging="835"/>
              <w:jc w:val="center"/>
            </w:pPr>
          </w:p>
        </w:tc>
      </w:tr>
      <w:tr w:rsidR="00476412" w:rsidRPr="00556ADB" w14:paraId="18A07172" w14:textId="77777777" w:rsidTr="009A3C4C">
        <w:tc>
          <w:tcPr>
            <w:tcW w:w="2880" w:type="dxa"/>
            <w:tcBorders>
              <w:top w:val="single" w:sz="6" w:space="0" w:color="000000"/>
              <w:left w:val="single" w:sz="4" w:space="0" w:color="auto"/>
              <w:right w:val="single" w:sz="6" w:space="0" w:color="000000"/>
            </w:tcBorders>
            <w:vAlign w:val="bottom"/>
          </w:tcPr>
          <w:p w14:paraId="28D222D4" w14:textId="77777777" w:rsidR="00476412" w:rsidRPr="006A68E4" w:rsidRDefault="00476412" w:rsidP="001D05B9">
            <w:pPr>
              <w:ind w:left="840" w:hanging="840"/>
              <w:rPr>
                <w:vertAlign w:val="superscript"/>
              </w:rPr>
            </w:pPr>
            <w:r w:rsidRPr="00556ADB">
              <w:t xml:space="preserve"> 3-Hour Maximum</w:t>
            </w:r>
            <w:r w:rsidR="001D05B9">
              <w:rPr>
                <w:vertAlign w:val="superscript"/>
              </w:rPr>
              <w:t>3</w:t>
            </w:r>
          </w:p>
        </w:tc>
        <w:tc>
          <w:tcPr>
            <w:tcW w:w="1147" w:type="dxa"/>
            <w:tcBorders>
              <w:top w:val="single" w:sz="6" w:space="0" w:color="000000"/>
              <w:left w:val="single" w:sz="6" w:space="0" w:color="000000"/>
            </w:tcBorders>
          </w:tcPr>
          <w:p w14:paraId="208EE7B3" w14:textId="77777777" w:rsidR="00476412" w:rsidRPr="00492488" w:rsidRDefault="00476412" w:rsidP="00AB6D88">
            <w:pPr>
              <w:ind w:left="840" w:hanging="840"/>
              <w:jc w:val="center"/>
            </w:pPr>
            <w:r w:rsidRPr="00492488">
              <w:t>3</w:t>
            </w:r>
          </w:p>
        </w:tc>
        <w:tc>
          <w:tcPr>
            <w:tcW w:w="1350" w:type="dxa"/>
            <w:tcBorders>
              <w:top w:val="single" w:sz="6" w:space="0" w:color="000000"/>
            </w:tcBorders>
          </w:tcPr>
          <w:p w14:paraId="255B78D9" w14:textId="77777777" w:rsidR="00476412" w:rsidRPr="00492488" w:rsidRDefault="00476412" w:rsidP="00AB6D88">
            <w:pPr>
              <w:ind w:left="840" w:hanging="840"/>
              <w:jc w:val="center"/>
            </w:pPr>
            <w:r w:rsidRPr="00492488">
              <w:t>40-160</w:t>
            </w:r>
          </w:p>
        </w:tc>
        <w:tc>
          <w:tcPr>
            <w:tcW w:w="1350" w:type="dxa"/>
            <w:tcBorders>
              <w:top w:val="single" w:sz="6" w:space="0" w:color="000000"/>
              <w:right w:val="single" w:sz="4" w:space="0" w:color="auto"/>
            </w:tcBorders>
          </w:tcPr>
          <w:p w14:paraId="4137E6DD" w14:textId="77777777" w:rsidR="00476412" w:rsidRPr="00476412" w:rsidRDefault="0053739A" w:rsidP="00AB6D88">
            <w:pPr>
              <w:ind w:left="840" w:hanging="840"/>
              <w:jc w:val="center"/>
            </w:pPr>
            <w:r>
              <w:t>--</w:t>
            </w:r>
          </w:p>
        </w:tc>
      </w:tr>
      <w:tr w:rsidR="00476412" w:rsidRPr="00556ADB" w14:paraId="7CBAF6E3" w14:textId="77777777" w:rsidTr="009A3C4C">
        <w:trPr>
          <w:trHeight w:val="453"/>
        </w:trPr>
        <w:tc>
          <w:tcPr>
            <w:tcW w:w="2880" w:type="dxa"/>
            <w:tcBorders>
              <w:top w:val="single" w:sz="6" w:space="0" w:color="000000"/>
              <w:left w:val="single" w:sz="4" w:space="0" w:color="auto"/>
              <w:right w:val="single" w:sz="6" w:space="0" w:color="000000"/>
            </w:tcBorders>
            <w:vAlign w:val="bottom"/>
          </w:tcPr>
          <w:p w14:paraId="5E2CEEFD" w14:textId="77777777" w:rsidR="00EE3577" w:rsidRDefault="00EE3577" w:rsidP="00AB6D88">
            <w:pPr>
              <w:rPr>
                <w:b/>
                <w:i/>
              </w:rPr>
            </w:pPr>
          </w:p>
          <w:p w14:paraId="7CD9522C" w14:textId="77777777" w:rsidR="00476412" w:rsidRPr="00F05676" w:rsidRDefault="00476412" w:rsidP="00AB6D88">
            <w:pPr>
              <w:rPr>
                <w:b/>
                <w:i/>
              </w:rPr>
            </w:pPr>
            <w:r w:rsidRPr="00F05676">
              <w:rPr>
                <w:b/>
                <w:i/>
              </w:rPr>
              <w:t xml:space="preserve">Particulate Matter (&lt;10 </w:t>
            </w:r>
            <w:r w:rsidRPr="00F05676">
              <w:rPr>
                <w:b/>
                <w:i/>
              </w:rPr>
              <w:sym w:font="Symbol" w:char="F06D"/>
            </w:r>
            <w:r w:rsidRPr="00F05676">
              <w:rPr>
                <w:b/>
                <w:i/>
              </w:rPr>
              <w:t xml:space="preserve">m): </w:t>
            </w:r>
          </w:p>
        </w:tc>
        <w:tc>
          <w:tcPr>
            <w:tcW w:w="1147" w:type="dxa"/>
            <w:tcBorders>
              <w:top w:val="single" w:sz="6" w:space="0" w:color="000000"/>
              <w:left w:val="single" w:sz="6" w:space="0" w:color="000000"/>
            </w:tcBorders>
          </w:tcPr>
          <w:p w14:paraId="38326243" w14:textId="77777777" w:rsidR="00476412" w:rsidRPr="00492488" w:rsidRDefault="00476412" w:rsidP="00AB6D88">
            <w:pPr>
              <w:ind w:left="835" w:hanging="835"/>
              <w:jc w:val="center"/>
            </w:pPr>
          </w:p>
        </w:tc>
        <w:tc>
          <w:tcPr>
            <w:tcW w:w="1350" w:type="dxa"/>
            <w:tcBorders>
              <w:top w:val="single" w:sz="6" w:space="0" w:color="000000"/>
            </w:tcBorders>
          </w:tcPr>
          <w:p w14:paraId="7FF07CFA" w14:textId="77777777" w:rsidR="00476412" w:rsidRPr="00492488" w:rsidRDefault="00476412" w:rsidP="00AB6D88">
            <w:pPr>
              <w:ind w:left="835" w:hanging="835"/>
              <w:jc w:val="center"/>
            </w:pPr>
          </w:p>
        </w:tc>
        <w:tc>
          <w:tcPr>
            <w:tcW w:w="1350" w:type="dxa"/>
            <w:tcBorders>
              <w:top w:val="single" w:sz="6" w:space="0" w:color="000000"/>
              <w:right w:val="single" w:sz="4" w:space="0" w:color="auto"/>
            </w:tcBorders>
          </w:tcPr>
          <w:p w14:paraId="47F77E74" w14:textId="77777777" w:rsidR="00476412" w:rsidRPr="00476412" w:rsidRDefault="00476412" w:rsidP="00AB6D88">
            <w:pPr>
              <w:ind w:left="835" w:hanging="835"/>
              <w:jc w:val="center"/>
            </w:pPr>
          </w:p>
        </w:tc>
      </w:tr>
      <w:tr w:rsidR="00476412" w:rsidRPr="00556ADB" w14:paraId="6B0AD05E" w14:textId="77777777" w:rsidTr="009A3C4C">
        <w:tc>
          <w:tcPr>
            <w:tcW w:w="2880" w:type="dxa"/>
            <w:tcBorders>
              <w:top w:val="single" w:sz="6" w:space="0" w:color="000000"/>
              <w:left w:val="single" w:sz="4" w:space="0" w:color="auto"/>
              <w:right w:val="single" w:sz="6" w:space="0" w:color="000000"/>
            </w:tcBorders>
            <w:vAlign w:val="bottom"/>
          </w:tcPr>
          <w:p w14:paraId="2B9E5EFF" w14:textId="77777777" w:rsidR="00476412" w:rsidRPr="00556ADB" w:rsidRDefault="00476412" w:rsidP="00AB6D88">
            <w:pPr>
              <w:ind w:left="840" w:hanging="840"/>
            </w:pPr>
            <w:r w:rsidRPr="00556ADB">
              <w:t xml:space="preserve"> Annual Arithmetic Mean</w:t>
            </w:r>
          </w:p>
        </w:tc>
        <w:tc>
          <w:tcPr>
            <w:tcW w:w="1147" w:type="dxa"/>
            <w:tcBorders>
              <w:top w:val="single" w:sz="6" w:space="0" w:color="000000"/>
              <w:left w:val="single" w:sz="6" w:space="0" w:color="000000"/>
            </w:tcBorders>
          </w:tcPr>
          <w:p w14:paraId="75AF3247" w14:textId="77777777" w:rsidR="00476412" w:rsidRPr="00492488" w:rsidRDefault="00476412" w:rsidP="00AB6D88">
            <w:pPr>
              <w:ind w:left="840" w:hanging="840"/>
              <w:jc w:val="center"/>
            </w:pPr>
            <w:r w:rsidRPr="00492488">
              <w:t>4</w:t>
            </w:r>
          </w:p>
        </w:tc>
        <w:tc>
          <w:tcPr>
            <w:tcW w:w="1350" w:type="dxa"/>
            <w:tcBorders>
              <w:top w:val="single" w:sz="6" w:space="0" w:color="000000"/>
            </w:tcBorders>
          </w:tcPr>
          <w:p w14:paraId="5D28BF3C" w14:textId="77777777" w:rsidR="00476412" w:rsidRPr="00492488" w:rsidRDefault="00476412" w:rsidP="00AB6D88">
            <w:pPr>
              <w:ind w:left="840" w:hanging="840"/>
              <w:jc w:val="center"/>
            </w:pPr>
            <w:r w:rsidRPr="00492488">
              <w:t>17</w:t>
            </w:r>
          </w:p>
        </w:tc>
        <w:tc>
          <w:tcPr>
            <w:tcW w:w="1350" w:type="dxa"/>
            <w:tcBorders>
              <w:top w:val="single" w:sz="6" w:space="0" w:color="000000"/>
              <w:right w:val="single" w:sz="4" w:space="0" w:color="auto"/>
            </w:tcBorders>
          </w:tcPr>
          <w:p w14:paraId="7F3D3AEF" w14:textId="47DDAE3C" w:rsidR="00476412" w:rsidRPr="007D476E" w:rsidRDefault="00476412" w:rsidP="00AB6D88">
            <w:pPr>
              <w:ind w:left="840" w:hanging="840"/>
              <w:jc w:val="center"/>
            </w:pPr>
            <w:r w:rsidRPr="00476412">
              <w:t>20</w:t>
            </w:r>
          </w:p>
        </w:tc>
      </w:tr>
      <w:tr w:rsidR="00476412" w:rsidRPr="00556ADB" w14:paraId="25E4F9EE" w14:textId="77777777" w:rsidTr="009A3C4C">
        <w:tc>
          <w:tcPr>
            <w:tcW w:w="2880" w:type="dxa"/>
            <w:tcBorders>
              <w:left w:val="single" w:sz="4" w:space="0" w:color="auto"/>
              <w:bottom w:val="single" w:sz="4" w:space="0" w:color="auto"/>
              <w:right w:val="single" w:sz="6" w:space="0" w:color="000000"/>
            </w:tcBorders>
          </w:tcPr>
          <w:p w14:paraId="5F3A5AA6" w14:textId="19C10989" w:rsidR="00476412" w:rsidRPr="006A68E4" w:rsidRDefault="00476412" w:rsidP="001D05B9">
            <w:pPr>
              <w:ind w:left="835" w:hanging="835"/>
              <w:rPr>
                <w:vertAlign w:val="superscript"/>
              </w:rPr>
            </w:pPr>
            <w:r w:rsidRPr="00556ADB">
              <w:t xml:space="preserve"> 24-Hour Maximum</w:t>
            </w:r>
            <w:r w:rsidR="001D05B9">
              <w:rPr>
                <w:position w:val="6"/>
                <w:vertAlign w:val="superscript"/>
              </w:rPr>
              <w:t>3</w:t>
            </w:r>
          </w:p>
        </w:tc>
        <w:tc>
          <w:tcPr>
            <w:tcW w:w="1147" w:type="dxa"/>
            <w:tcBorders>
              <w:left w:val="single" w:sz="6" w:space="0" w:color="000000"/>
              <w:bottom w:val="single" w:sz="4" w:space="0" w:color="auto"/>
            </w:tcBorders>
          </w:tcPr>
          <w:p w14:paraId="5CB48757" w14:textId="77777777" w:rsidR="00476412" w:rsidRPr="00492488" w:rsidRDefault="003003DA" w:rsidP="00AB6D88">
            <w:pPr>
              <w:ind w:left="835" w:hanging="835"/>
              <w:jc w:val="center"/>
            </w:pPr>
            <w:r>
              <w:t>8</w:t>
            </w:r>
          </w:p>
        </w:tc>
        <w:tc>
          <w:tcPr>
            <w:tcW w:w="1350" w:type="dxa"/>
            <w:tcBorders>
              <w:bottom w:val="single" w:sz="4" w:space="0" w:color="auto"/>
            </w:tcBorders>
          </w:tcPr>
          <w:p w14:paraId="14B90A2C" w14:textId="77777777" w:rsidR="00476412" w:rsidRPr="00492488" w:rsidRDefault="00476412" w:rsidP="00AB6D88">
            <w:pPr>
              <w:ind w:left="835" w:hanging="835"/>
              <w:jc w:val="center"/>
            </w:pPr>
            <w:r w:rsidRPr="00492488">
              <w:t>12-30</w:t>
            </w:r>
          </w:p>
        </w:tc>
        <w:tc>
          <w:tcPr>
            <w:tcW w:w="1350" w:type="dxa"/>
            <w:tcBorders>
              <w:bottom w:val="single" w:sz="4" w:space="0" w:color="auto"/>
              <w:right w:val="single" w:sz="4" w:space="0" w:color="auto"/>
            </w:tcBorders>
          </w:tcPr>
          <w:p w14:paraId="19C7ED3D" w14:textId="77777777" w:rsidR="00476412" w:rsidRPr="00476412" w:rsidRDefault="00476412" w:rsidP="00AB6D88">
            <w:pPr>
              <w:ind w:left="835" w:hanging="835"/>
              <w:jc w:val="center"/>
            </w:pPr>
            <w:r w:rsidRPr="00476412">
              <w:t>50</w:t>
            </w:r>
          </w:p>
        </w:tc>
      </w:tr>
      <w:tr w:rsidR="00E8412E" w:rsidRPr="00556ADB" w14:paraId="696F2251" w14:textId="77777777" w:rsidTr="009A3C4C">
        <w:tc>
          <w:tcPr>
            <w:tcW w:w="2880" w:type="dxa"/>
            <w:tcBorders>
              <w:top w:val="single" w:sz="4" w:space="0" w:color="auto"/>
              <w:left w:val="single" w:sz="4" w:space="0" w:color="auto"/>
              <w:bottom w:val="single" w:sz="4" w:space="0" w:color="auto"/>
              <w:right w:val="single" w:sz="6" w:space="0" w:color="000000"/>
            </w:tcBorders>
          </w:tcPr>
          <w:p w14:paraId="5C54DED9" w14:textId="77777777" w:rsidR="00EE3577" w:rsidRDefault="00EE3577" w:rsidP="00E8412E">
            <w:pPr>
              <w:ind w:left="835" w:hanging="835"/>
              <w:rPr>
                <w:b/>
                <w:i/>
              </w:rPr>
            </w:pPr>
          </w:p>
          <w:p w14:paraId="3EF61E4C" w14:textId="77777777" w:rsidR="00E8412E" w:rsidRPr="00F05676" w:rsidRDefault="0065383F" w:rsidP="00E8412E">
            <w:pPr>
              <w:ind w:left="835" w:hanging="835"/>
              <w:rPr>
                <w:b/>
              </w:rPr>
            </w:pPr>
            <w:r w:rsidRPr="00F05676">
              <w:rPr>
                <w:b/>
                <w:i/>
              </w:rPr>
              <w:t xml:space="preserve">Particulate Matter (&lt;2.5 </w:t>
            </w:r>
            <w:r w:rsidRPr="00F05676">
              <w:rPr>
                <w:b/>
                <w:i/>
              </w:rPr>
              <w:sym w:font="Symbol" w:char="F06D"/>
            </w:r>
            <w:r w:rsidRPr="00F05676">
              <w:rPr>
                <w:b/>
                <w:i/>
              </w:rPr>
              <w:t>m):</w:t>
            </w:r>
          </w:p>
        </w:tc>
        <w:tc>
          <w:tcPr>
            <w:tcW w:w="1147" w:type="dxa"/>
            <w:tcBorders>
              <w:top w:val="single" w:sz="4" w:space="0" w:color="auto"/>
              <w:left w:val="single" w:sz="6" w:space="0" w:color="000000"/>
              <w:bottom w:val="single" w:sz="4" w:space="0" w:color="auto"/>
            </w:tcBorders>
          </w:tcPr>
          <w:p w14:paraId="02F51FEE" w14:textId="77777777" w:rsidR="00E8412E" w:rsidRDefault="00E8412E" w:rsidP="00AB6D88">
            <w:pPr>
              <w:ind w:left="835" w:hanging="835"/>
              <w:jc w:val="center"/>
            </w:pPr>
          </w:p>
        </w:tc>
        <w:tc>
          <w:tcPr>
            <w:tcW w:w="1350" w:type="dxa"/>
            <w:tcBorders>
              <w:top w:val="single" w:sz="4" w:space="0" w:color="auto"/>
              <w:bottom w:val="single" w:sz="4" w:space="0" w:color="auto"/>
            </w:tcBorders>
          </w:tcPr>
          <w:p w14:paraId="10D6AA88" w14:textId="77777777" w:rsidR="00E8412E" w:rsidRPr="00492488" w:rsidRDefault="00E8412E" w:rsidP="00AB6D88">
            <w:pPr>
              <w:ind w:left="835" w:hanging="835"/>
              <w:jc w:val="center"/>
            </w:pPr>
          </w:p>
        </w:tc>
        <w:tc>
          <w:tcPr>
            <w:tcW w:w="1350" w:type="dxa"/>
            <w:tcBorders>
              <w:top w:val="single" w:sz="4" w:space="0" w:color="auto"/>
              <w:bottom w:val="single" w:sz="4" w:space="0" w:color="auto"/>
              <w:right w:val="single" w:sz="4" w:space="0" w:color="auto"/>
            </w:tcBorders>
          </w:tcPr>
          <w:p w14:paraId="1658D850" w14:textId="77777777" w:rsidR="00E8412E" w:rsidRPr="00476412" w:rsidRDefault="00E8412E" w:rsidP="00AB6D88">
            <w:pPr>
              <w:ind w:left="835" w:hanging="835"/>
              <w:jc w:val="center"/>
            </w:pPr>
          </w:p>
        </w:tc>
      </w:tr>
      <w:tr w:rsidR="00476412" w14:paraId="39AE2387" w14:textId="77777777" w:rsidTr="009A3C4C">
        <w:trPr>
          <w:trHeight w:val="57"/>
        </w:trPr>
        <w:tc>
          <w:tcPr>
            <w:tcW w:w="2880" w:type="dxa"/>
            <w:tcBorders>
              <w:top w:val="single" w:sz="4" w:space="0" w:color="auto"/>
              <w:left w:val="single" w:sz="4" w:space="0" w:color="auto"/>
              <w:right w:val="single" w:sz="6" w:space="0" w:color="000000"/>
            </w:tcBorders>
            <w:vAlign w:val="bottom"/>
          </w:tcPr>
          <w:p w14:paraId="67847289" w14:textId="77777777" w:rsidR="00476412" w:rsidRPr="00556ADB" w:rsidRDefault="0065383F" w:rsidP="00AB6D88">
            <w:pPr>
              <w:ind w:left="835" w:hanging="835"/>
            </w:pPr>
            <w:r w:rsidRPr="00556ADB">
              <w:t>Annual Arithmetic Mean</w:t>
            </w:r>
          </w:p>
        </w:tc>
        <w:tc>
          <w:tcPr>
            <w:tcW w:w="1147" w:type="dxa"/>
            <w:tcBorders>
              <w:top w:val="single" w:sz="4" w:space="0" w:color="auto"/>
              <w:left w:val="single" w:sz="6" w:space="0" w:color="000000"/>
            </w:tcBorders>
          </w:tcPr>
          <w:p w14:paraId="5F2AEE4C" w14:textId="77777777" w:rsidR="00476412" w:rsidRPr="00556ADB" w:rsidRDefault="00DE7B63" w:rsidP="00AB6D88">
            <w:pPr>
              <w:ind w:left="835" w:hanging="835"/>
              <w:jc w:val="center"/>
            </w:pPr>
            <w:r>
              <w:t>1</w:t>
            </w:r>
          </w:p>
        </w:tc>
        <w:tc>
          <w:tcPr>
            <w:tcW w:w="1350" w:type="dxa"/>
            <w:tcBorders>
              <w:top w:val="single" w:sz="4" w:space="0" w:color="auto"/>
            </w:tcBorders>
          </w:tcPr>
          <w:p w14:paraId="0D04D578" w14:textId="77777777" w:rsidR="00476412" w:rsidRPr="00556ADB" w:rsidRDefault="00DE7B63" w:rsidP="00AB6D88">
            <w:pPr>
              <w:ind w:left="835" w:hanging="835"/>
              <w:jc w:val="center"/>
            </w:pPr>
            <w:r>
              <w:t>4</w:t>
            </w:r>
          </w:p>
        </w:tc>
        <w:tc>
          <w:tcPr>
            <w:tcW w:w="1350" w:type="dxa"/>
            <w:tcBorders>
              <w:top w:val="single" w:sz="4" w:space="0" w:color="auto"/>
              <w:right w:val="single" w:sz="4" w:space="0" w:color="auto"/>
            </w:tcBorders>
          </w:tcPr>
          <w:p w14:paraId="0D7E19BD" w14:textId="77777777" w:rsidR="00476412" w:rsidRDefault="00DE7B63" w:rsidP="00AB6D88">
            <w:pPr>
              <w:ind w:left="835" w:hanging="835"/>
              <w:jc w:val="center"/>
            </w:pPr>
            <w:r>
              <w:t>12</w:t>
            </w:r>
          </w:p>
        </w:tc>
      </w:tr>
      <w:tr w:rsidR="00E8412E" w14:paraId="21000E01" w14:textId="77777777" w:rsidTr="009A3C4C">
        <w:trPr>
          <w:trHeight w:val="57"/>
        </w:trPr>
        <w:tc>
          <w:tcPr>
            <w:tcW w:w="2880" w:type="dxa"/>
            <w:tcBorders>
              <w:left w:val="single" w:sz="4" w:space="0" w:color="auto"/>
              <w:right w:val="single" w:sz="6" w:space="0" w:color="000000"/>
            </w:tcBorders>
            <w:vAlign w:val="bottom"/>
          </w:tcPr>
          <w:p w14:paraId="6895D0E6" w14:textId="77777777" w:rsidR="00E8412E" w:rsidRPr="00556ADB" w:rsidRDefault="0065383F" w:rsidP="00AB6D88">
            <w:pPr>
              <w:ind w:left="835" w:hanging="835"/>
            </w:pPr>
            <w:r w:rsidRPr="00556ADB">
              <w:t>24-Hour Maximum</w:t>
            </w:r>
          </w:p>
        </w:tc>
        <w:tc>
          <w:tcPr>
            <w:tcW w:w="1147" w:type="dxa"/>
            <w:tcBorders>
              <w:left w:val="single" w:sz="6" w:space="0" w:color="000000"/>
            </w:tcBorders>
          </w:tcPr>
          <w:p w14:paraId="567C061C" w14:textId="77777777" w:rsidR="00E8412E" w:rsidRPr="00556ADB" w:rsidRDefault="00DE7B63" w:rsidP="00AB6D88">
            <w:pPr>
              <w:ind w:left="835" w:hanging="835"/>
              <w:jc w:val="center"/>
            </w:pPr>
            <w:r>
              <w:t>2</w:t>
            </w:r>
          </w:p>
        </w:tc>
        <w:tc>
          <w:tcPr>
            <w:tcW w:w="1350" w:type="dxa"/>
          </w:tcPr>
          <w:p w14:paraId="6F0331FE" w14:textId="77777777" w:rsidR="00E8412E" w:rsidRPr="00556ADB" w:rsidRDefault="008602CA" w:rsidP="00AB6D88">
            <w:pPr>
              <w:ind w:left="835" w:hanging="835"/>
              <w:jc w:val="center"/>
            </w:pPr>
            <w:r>
              <w:t>9</w:t>
            </w:r>
          </w:p>
        </w:tc>
        <w:tc>
          <w:tcPr>
            <w:tcW w:w="1350" w:type="dxa"/>
            <w:tcBorders>
              <w:right w:val="single" w:sz="4" w:space="0" w:color="auto"/>
            </w:tcBorders>
          </w:tcPr>
          <w:p w14:paraId="68A1C499" w14:textId="77777777" w:rsidR="00E8412E" w:rsidRDefault="00DE7B63" w:rsidP="00AB6D88">
            <w:pPr>
              <w:ind w:left="835" w:hanging="835"/>
              <w:jc w:val="center"/>
            </w:pPr>
            <w:r>
              <w:t>35</w:t>
            </w:r>
          </w:p>
        </w:tc>
      </w:tr>
      <w:tr w:rsidR="00E8412E" w14:paraId="5973D8DC" w14:textId="77777777" w:rsidTr="009A3C4C">
        <w:trPr>
          <w:trHeight w:val="57"/>
        </w:trPr>
        <w:tc>
          <w:tcPr>
            <w:tcW w:w="2880" w:type="dxa"/>
            <w:tcBorders>
              <w:left w:val="single" w:sz="4" w:space="0" w:color="auto"/>
              <w:bottom w:val="single" w:sz="4" w:space="0" w:color="auto"/>
              <w:right w:val="single" w:sz="6" w:space="0" w:color="000000"/>
            </w:tcBorders>
            <w:vAlign w:val="bottom"/>
          </w:tcPr>
          <w:p w14:paraId="1A260FD6" w14:textId="77777777" w:rsidR="00E8412E" w:rsidRPr="00556ADB" w:rsidRDefault="00E8412E" w:rsidP="006A3930"/>
        </w:tc>
        <w:tc>
          <w:tcPr>
            <w:tcW w:w="1147" w:type="dxa"/>
            <w:tcBorders>
              <w:left w:val="single" w:sz="6" w:space="0" w:color="000000"/>
              <w:bottom w:val="single" w:sz="4" w:space="0" w:color="auto"/>
            </w:tcBorders>
          </w:tcPr>
          <w:p w14:paraId="413A458E" w14:textId="77777777" w:rsidR="00E8412E" w:rsidRPr="00556ADB" w:rsidRDefault="00E8412E" w:rsidP="00AB6D88">
            <w:pPr>
              <w:ind w:left="835" w:hanging="835"/>
              <w:jc w:val="center"/>
            </w:pPr>
          </w:p>
        </w:tc>
        <w:tc>
          <w:tcPr>
            <w:tcW w:w="1350" w:type="dxa"/>
            <w:tcBorders>
              <w:bottom w:val="single" w:sz="4" w:space="0" w:color="auto"/>
            </w:tcBorders>
          </w:tcPr>
          <w:p w14:paraId="738B36FE" w14:textId="77777777" w:rsidR="00E8412E" w:rsidRPr="00556ADB" w:rsidRDefault="00E8412E" w:rsidP="00AB6D88">
            <w:pPr>
              <w:ind w:left="835" w:hanging="835"/>
              <w:jc w:val="center"/>
            </w:pPr>
          </w:p>
        </w:tc>
        <w:tc>
          <w:tcPr>
            <w:tcW w:w="1350" w:type="dxa"/>
            <w:tcBorders>
              <w:bottom w:val="single" w:sz="4" w:space="0" w:color="auto"/>
              <w:right w:val="single" w:sz="4" w:space="0" w:color="auto"/>
            </w:tcBorders>
          </w:tcPr>
          <w:p w14:paraId="3EC9A962" w14:textId="77777777" w:rsidR="00E8412E" w:rsidRDefault="00E8412E" w:rsidP="00AB6D88">
            <w:pPr>
              <w:ind w:left="835" w:hanging="835"/>
              <w:jc w:val="center"/>
            </w:pPr>
          </w:p>
        </w:tc>
      </w:tr>
    </w:tbl>
    <w:p w14:paraId="34FC1016" w14:textId="587E9E4A" w:rsidR="00AB6D88" w:rsidRPr="005D31A1" w:rsidRDefault="00620267" w:rsidP="00AB6D88">
      <w:pPr>
        <w:ind w:left="1710" w:right="540" w:hanging="270"/>
        <w:rPr>
          <w:sz w:val="18"/>
          <w:szCs w:val="18"/>
        </w:rPr>
      </w:pPr>
      <w:r w:rsidRPr="005D31A1">
        <w:rPr>
          <w:sz w:val="18"/>
          <w:szCs w:val="18"/>
        </w:rPr>
        <w:t xml:space="preserve">   </w:t>
      </w:r>
      <w:r w:rsidR="00AB6D88" w:rsidRPr="005D31A1">
        <w:rPr>
          <w:sz w:val="18"/>
          <w:szCs w:val="18"/>
          <w:vertAlign w:val="superscript"/>
        </w:rPr>
        <w:t>1</w:t>
      </w:r>
      <w:r w:rsidR="00AB6D88" w:rsidRPr="005D31A1">
        <w:rPr>
          <w:sz w:val="18"/>
          <w:szCs w:val="18"/>
        </w:rPr>
        <w:tab/>
      </w:r>
      <w:r w:rsidR="001D1F9A" w:rsidRPr="005D31A1">
        <w:rPr>
          <w:sz w:val="18"/>
          <w:szCs w:val="18"/>
        </w:rPr>
        <w:t>Also s</w:t>
      </w:r>
      <w:r w:rsidR="00CB1D95" w:rsidRPr="005D31A1">
        <w:rPr>
          <w:sz w:val="18"/>
          <w:szCs w:val="18"/>
        </w:rPr>
        <w:t>ee Rule</w:t>
      </w:r>
      <w:r w:rsidR="00416DD1" w:rsidRPr="005D31A1">
        <w:rPr>
          <w:sz w:val="18"/>
          <w:szCs w:val="18"/>
        </w:rPr>
        <w:t xml:space="preserve"> 809 and Rule </w:t>
      </w:r>
      <w:r w:rsidR="00CB1D95" w:rsidRPr="005D31A1">
        <w:rPr>
          <w:sz w:val="18"/>
          <w:szCs w:val="18"/>
        </w:rPr>
        <w:t>810 for project</w:t>
      </w:r>
      <w:r w:rsidR="00335CF0" w:rsidRPr="005D31A1">
        <w:rPr>
          <w:sz w:val="18"/>
          <w:szCs w:val="18"/>
        </w:rPr>
        <w:t>s</w:t>
      </w:r>
      <w:r w:rsidR="00CB1D95" w:rsidRPr="005D31A1">
        <w:rPr>
          <w:sz w:val="18"/>
          <w:szCs w:val="18"/>
        </w:rPr>
        <w:t xml:space="preserve"> subject to Federal review. </w:t>
      </w:r>
    </w:p>
    <w:p w14:paraId="4501F169" w14:textId="77777777" w:rsidR="00C0077F" w:rsidRPr="005D31A1" w:rsidRDefault="00620267" w:rsidP="00AB6D88">
      <w:pPr>
        <w:ind w:left="1710" w:right="540" w:hanging="270"/>
        <w:rPr>
          <w:sz w:val="18"/>
          <w:szCs w:val="18"/>
        </w:rPr>
      </w:pPr>
      <w:r w:rsidRPr="005D31A1">
        <w:rPr>
          <w:sz w:val="18"/>
          <w:szCs w:val="18"/>
          <w:vertAlign w:val="superscript"/>
        </w:rPr>
        <w:t xml:space="preserve">     </w:t>
      </w:r>
      <w:r w:rsidR="00C0077F" w:rsidRPr="005D31A1">
        <w:rPr>
          <w:sz w:val="18"/>
          <w:szCs w:val="18"/>
          <w:vertAlign w:val="superscript"/>
        </w:rPr>
        <w:t>2</w:t>
      </w:r>
      <w:r w:rsidR="00C0077F" w:rsidRPr="005D31A1">
        <w:rPr>
          <w:sz w:val="18"/>
          <w:szCs w:val="18"/>
        </w:rPr>
        <w:tab/>
        <w:t xml:space="preserve">Air Quality Standards represent </w:t>
      </w:r>
      <w:r w:rsidR="001D05B9" w:rsidRPr="005D31A1">
        <w:rPr>
          <w:sz w:val="18"/>
          <w:szCs w:val="18"/>
        </w:rPr>
        <w:t xml:space="preserve">the </w:t>
      </w:r>
      <w:r w:rsidR="00C0077F" w:rsidRPr="005D31A1">
        <w:rPr>
          <w:sz w:val="18"/>
          <w:szCs w:val="18"/>
        </w:rPr>
        <w:t>most stringent of State and Federal standards</w:t>
      </w:r>
      <w:r w:rsidR="001D05B9" w:rsidRPr="005D31A1">
        <w:rPr>
          <w:sz w:val="18"/>
          <w:szCs w:val="18"/>
        </w:rPr>
        <w:t>.</w:t>
      </w:r>
    </w:p>
    <w:p w14:paraId="769725AE" w14:textId="27B91E4F" w:rsidR="00C0077F" w:rsidRPr="005D31A1" w:rsidRDefault="00620267" w:rsidP="00C0077F">
      <w:pPr>
        <w:ind w:left="1710" w:right="540" w:hanging="270"/>
        <w:rPr>
          <w:sz w:val="18"/>
          <w:szCs w:val="18"/>
        </w:rPr>
      </w:pPr>
      <w:r w:rsidRPr="005D31A1">
        <w:rPr>
          <w:sz w:val="18"/>
          <w:szCs w:val="18"/>
        </w:rPr>
        <w:t xml:space="preserve">   </w:t>
      </w:r>
      <w:r w:rsidR="001D05B9" w:rsidRPr="005D31A1">
        <w:rPr>
          <w:sz w:val="18"/>
          <w:szCs w:val="18"/>
          <w:vertAlign w:val="superscript"/>
        </w:rPr>
        <w:t>3</w:t>
      </w:r>
      <w:r w:rsidR="001D05B9" w:rsidRPr="005D31A1">
        <w:rPr>
          <w:sz w:val="18"/>
          <w:szCs w:val="18"/>
        </w:rPr>
        <w:t xml:space="preserve"> </w:t>
      </w:r>
      <w:r w:rsidR="00C0077F" w:rsidRPr="005D31A1">
        <w:rPr>
          <w:sz w:val="18"/>
          <w:szCs w:val="18"/>
        </w:rPr>
        <w:tab/>
        <w:t>The applicant may consume the full increment range pursuant to the requirements of Section F.</w:t>
      </w:r>
      <w:r w:rsidR="006E4800" w:rsidRPr="005D31A1">
        <w:rPr>
          <w:sz w:val="18"/>
          <w:szCs w:val="18"/>
        </w:rPr>
        <w:t>3</w:t>
      </w:r>
      <w:r w:rsidR="00C0077F" w:rsidRPr="005D31A1">
        <w:rPr>
          <w:sz w:val="18"/>
          <w:szCs w:val="18"/>
        </w:rPr>
        <w:t>.</w:t>
      </w:r>
    </w:p>
    <w:p w14:paraId="0F3DF4F3" w14:textId="77777777" w:rsidR="00AB6D88" w:rsidRDefault="00AB6D88" w:rsidP="00AB6D88">
      <w:pPr>
        <w:rPr>
          <w:sz w:val="24"/>
        </w:rPr>
      </w:pPr>
    </w:p>
    <w:p w14:paraId="3F07D1A3" w14:textId="77777777" w:rsidR="005D31A1" w:rsidRDefault="005D31A1" w:rsidP="00AB6D88">
      <w:pPr>
        <w:rPr>
          <w:sz w:val="24"/>
        </w:rPr>
      </w:pPr>
    </w:p>
    <w:p w14:paraId="3122A720" w14:textId="09FD3C10" w:rsidR="00AB6D88" w:rsidRDefault="00AB6D88" w:rsidP="00AB6D88">
      <w:r>
        <w:rPr>
          <w:b/>
        </w:rPr>
        <w:lastRenderedPageBreak/>
        <w:t>G.</w:t>
      </w:r>
      <w:r>
        <w:rPr>
          <w:b/>
        </w:rPr>
        <w:tab/>
        <w:t xml:space="preserve">Requirements </w:t>
      </w:r>
      <w:r w:rsidR="0031284F">
        <w:rPr>
          <w:b/>
        </w:rPr>
        <w:t>–</w:t>
      </w:r>
      <w:r>
        <w:rPr>
          <w:b/>
        </w:rPr>
        <w:t xml:space="preserve"> Calculations for an Air Quality Impact Analysis and/or Modeling</w:t>
      </w:r>
    </w:p>
    <w:p w14:paraId="197235F1" w14:textId="77777777" w:rsidR="00AB6D88" w:rsidRDefault="00AB6D88" w:rsidP="00AB6D88"/>
    <w:p w14:paraId="4D8C24AF" w14:textId="5A39837E" w:rsidR="00AB6D88" w:rsidRDefault="00AB6D88" w:rsidP="00AB6D88">
      <w:pPr>
        <w:ind w:left="1440" w:hanging="720"/>
      </w:pPr>
      <w:r w:rsidRPr="006A0F8F">
        <w:t>1.</w:t>
      </w:r>
      <w:r>
        <w:tab/>
        <w:t xml:space="preserve">The maximum design capacity (potential to emit) of a new stationary source or modification shall be used to determine the emissions from the new source or modification. However, the applicant may agree to enforceable limitations on the operation of the new source or modification. If those limitations are included in both Authorities to Construct and Permits to Operate issued according to the </w:t>
      </w:r>
      <w:r w:rsidR="00D44056">
        <w:t>r</w:t>
      </w:r>
      <w:r>
        <w:t>ule, then those limitations shall be used to establish the emissions from the new source or modifications.</w:t>
      </w:r>
      <w:r>
        <w:br/>
      </w:r>
    </w:p>
    <w:p w14:paraId="14682804" w14:textId="39683360" w:rsidR="00AB6D88" w:rsidRDefault="00AB6D88" w:rsidP="00AB6D88">
      <w:pPr>
        <w:tabs>
          <w:tab w:val="left" w:pos="720"/>
          <w:tab w:val="left" w:pos="3960"/>
        </w:tabs>
        <w:spacing w:line="240" w:lineRule="exact"/>
        <w:ind w:left="1440" w:hanging="720"/>
        <w:rPr>
          <w:smallCaps/>
        </w:rPr>
      </w:pPr>
      <w:r w:rsidRPr="006A0F8F">
        <w:t>2.</w:t>
      </w:r>
      <w:r>
        <w:tab/>
        <w:t>The emissions from an existing source shall be based on the actual operating conditions of the existing source averaged over the three consecutive years immediately preceding the date of application, or such shorter period as may be applicable in cases where the existing source has not been in operation for three consecutive years. The Control Officer may approve any other time period of at least three years within five years prior to the date of application that is more representative of normal source operation. If violation of laws, rules, regulations, permit conditions, or orders of the District, the Air Resources Board, or the Environmental Protection Agency occurred during the period used to determine the operating conditions, then an adjustment  shall be made to determine the emissions the existing source would have caused without such violations.</w:t>
      </w:r>
    </w:p>
    <w:p w14:paraId="29C1525F" w14:textId="77777777" w:rsidR="00AB6D88" w:rsidRDefault="00AB6D88" w:rsidP="00AB6D88">
      <w:pPr>
        <w:rPr>
          <w:b/>
        </w:rPr>
      </w:pPr>
    </w:p>
    <w:p w14:paraId="7881BD0E" w14:textId="6D87B720" w:rsidR="00AB6D88" w:rsidRDefault="00AB6D88" w:rsidP="00AB6D88">
      <w:r>
        <w:rPr>
          <w:b/>
        </w:rPr>
        <w:t>H.</w:t>
      </w:r>
      <w:r>
        <w:rPr>
          <w:b/>
        </w:rPr>
        <w:tab/>
        <w:t xml:space="preserve">Requirements </w:t>
      </w:r>
      <w:r w:rsidR="0031284F">
        <w:rPr>
          <w:b/>
        </w:rPr>
        <w:t>–</w:t>
      </w:r>
      <w:r w:rsidRPr="007B3F83">
        <w:rPr>
          <w:b/>
        </w:rPr>
        <w:t xml:space="preserve"> </w:t>
      </w:r>
      <w:r w:rsidR="007B3F83" w:rsidRPr="007B3F83">
        <w:rPr>
          <w:b/>
        </w:rPr>
        <w:t>Air Quality Increment Analysis</w:t>
      </w:r>
    </w:p>
    <w:p w14:paraId="243ECB48" w14:textId="77777777" w:rsidR="00AB6D88" w:rsidRDefault="00AB6D88" w:rsidP="00AB6D88"/>
    <w:p w14:paraId="283AD945" w14:textId="448123DA" w:rsidR="00AB6D88" w:rsidRPr="009A6713" w:rsidRDefault="00AB6D88" w:rsidP="00356105">
      <w:pPr>
        <w:ind w:left="720"/>
      </w:pPr>
      <w:r>
        <w:t xml:space="preserve">The Control Officer shall evaluate the impact on the air quality increment of the emissions from the proposed </w:t>
      </w:r>
      <w:r w:rsidR="007B3F83">
        <w:t>source</w:t>
      </w:r>
      <w:r>
        <w:t>. Any emissions from secondary emissions associated with the source shall be included in the determination of increment consumption.</w:t>
      </w:r>
    </w:p>
    <w:p w14:paraId="74ADF797" w14:textId="77777777" w:rsidR="007B3F83" w:rsidRDefault="007B3F83" w:rsidP="007B3F83">
      <w:pPr>
        <w:ind w:left="720"/>
      </w:pPr>
    </w:p>
    <w:p w14:paraId="51005FA7" w14:textId="77777777" w:rsidR="00AB6D88" w:rsidRDefault="00AB6D88" w:rsidP="00AB6D88">
      <w:pPr>
        <w:ind w:left="720"/>
      </w:pPr>
    </w:p>
    <w:p w14:paraId="166276FE" w14:textId="77777777" w:rsidR="00AB6D88" w:rsidRDefault="00AB6D88" w:rsidP="00AB6D88">
      <w:pPr>
        <w:keepLines/>
        <w:tabs>
          <w:tab w:val="left" w:pos="720"/>
        </w:tabs>
        <w:spacing w:line="240" w:lineRule="exact"/>
        <w:ind w:left="1440" w:hanging="720"/>
      </w:pPr>
    </w:p>
    <w:p w14:paraId="0BB9A02E" w14:textId="77777777" w:rsidR="00155D25" w:rsidRPr="002732B4" w:rsidRDefault="00155D25" w:rsidP="002732B4">
      <w:pPr>
        <w:tabs>
          <w:tab w:val="left" w:pos="12117"/>
        </w:tabs>
        <w:rPr>
          <w:rFonts w:cs="Times New Roman"/>
          <w:sz w:val="24"/>
        </w:rPr>
      </w:pPr>
      <w:bookmarkStart w:id="1" w:name="att_c"/>
      <w:bookmarkStart w:id="2" w:name="att_d"/>
      <w:bookmarkStart w:id="3" w:name="att_e"/>
      <w:bookmarkStart w:id="4" w:name="att_f"/>
      <w:bookmarkEnd w:id="1"/>
      <w:bookmarkEnd w:id="2"/>
      <w:bookmarkEnd w:id="3"/>
      <w:bookmarkEnd w:id="4"/>
    </w:p>
    <w:sectPr w:rsidR="00155D25" w:rsidRPr="002732B4" w:rsidSect="006451A8">
      <w:headerReference w:type="default" r:id="rId11"/>
      <w:footerReference w:type="default" r:id="rId12"/>
      <w:headerReference w:type="first" r:id="rId13"/>
      <w:footerReference w:type="first" r:id="rId14"/>
      <w:footnotePr>
        <w:numFmt w:val="lowerLetter"/>
        <w:numRestart w:val="eachPage"/>
      </w:footnotePr>
      <w:pgSz w:w="12240" w:h="15840" w:code="1"/>
      <w:pgMar w:top="1440" w:right="1440" w:bottom="72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889789" w14:textId="77777777" w:rsidR="00A20578" w:rsidRDefault="00A20578" w:rsidP="00BE759B">
      <w:r>
        <w:separator/>
      </w:r>
    </w:p>
  </w:endnote>
  <w:endnote w:type="continuationSeparator" w:id="0">
    <w:p w14:paraId="526480DF" w14:textId="77777777" w:rsidR="00A20578" w:rsidRDefault="00A20578" w:rsidP="00BE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JEJEIA+TimesNew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0D50" w14:textId="77777777" w:rsidR="00AD32A5" w:rsidRPr="00A93F80" w:rsidRDefault="00AD32A5" w:rsidP="00AD32A5">
    <w:pPr>
      <w:tabs>
        <w:tab w:val="center" w:pos="4680"/>
        <w:tab w:val="right" w:pos="9360"/>
      </w:tabs>
    </w:pPr>
    <w:r w:rsidRPr="00A93F80">
      <w:tab/>
    </w:r>
    <w:r w:rsidRPr="00A93F80">
      <w:tab/>
    </w:r>
  </w:p>
  <w:p w14:paraId="361C8590" w14:textId="46D953E0" w:rsidR="00AD32A5" w:rsidRPr="00A93F80" w:rsidRDefault="00AD32A5" w:rsidP="00AD32A5">
    <w:pPr>
      <w:tabs>
        <w:tab w:val="center" w:pos="4680"/>
        <w:tab w:val="right" w:pos="9360"/>
      </w:tabs>
    </w:pPr>
    <w:r w:rsidRPr="00A93F80">
      <w:t>Santa Barbara County APCD Rule 805</w:t>
    </w:r>
    <w:r w:rsidRPr="00A93F80">
      <w:tab/>
      <w:t xml:space="preserve">805 - </w:t>
    </w:r>
    <w:r w:rsidRPr="00A93F80">
      <w:fldChar w:fldCharType="begin"/>
    </w:r>
    <w:r w:rsidRPr="00A93F80">
      <w:instrText>page \* arabic</w:instrText>
    </w:r>
    <w:r w:rsidRPr="00A93F80">
      <w:fldChar w:fldCharType="separate"/>
    </w:r>
    <w:r w:rsidR="00490F3C">
      <w:rPr>
        <w:noProof/>
      </w:rPr>
      <w:t>3</w:t>
    </w:r>
    <w:r w:rsidRPr="00A93F80">
      <w:fldChar w:fldCharType="end"/>
    </w:r>
    <w:r w:rsidRPr="00A93F80">
      <w:tab/>
    </w:r>
    <w:r w:rsidR="00490F3C">
      <w:rPr>
        <w:rStyle w:val="PageNumber"/>
      </w:rPr>
      <w:t>August 25, 2016</w:t>
    </w:r>
  </w:p>
  <w:p w14:paraId="7F3CB46F" w14:textId="77777777" w:rsidR="00AD32A5" w:rsidRPr="00A93F80" w:rsidRDefault="00AD32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880B2" w14:textId="77777777" w:rsidR="006A63BF" w:rsidRDefault="006A63BF" w:rsidP="00A0790A">
    <w:pPr>
      <w:pStyle w:val="Footer"/>
      <w:ind w:right="389"/>
      <w:jc w:val="right"/>
    </w:pPr>
    <w:r>
      <w:t xml:space="preserve">Page </w:t>
    </w:r>
    <w:r>
      <w:fldChar w:fldCharType="begin"/>
    </w:r>
    <w:r>
      <w:instrText xml:space="preserve"> PAGE   \* MERGEFORMAT </w:instrText>
    </w:r>
    <w:r>
      <w:fldChar w:fldCharType="separate"/>
    </w:r>
    <w:r w:rsidR="002F176F">
      <w:rPr>
        <w:noProof/>
      </w:rPr>
      <w:t>1</w:t>
    </w:r>
    <w:r>
      <w:rPr>
        <w:noProof/>
      </w:rPr>
      <w:fldChar w:fldCharType="end"/>
    </w:r>
    <w:r>
      <w:rPr>
        <w:noProof/>
      </w:rPr>
      <w:t>, Draft of July 24,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23D16" w14:textId="77777777" w:rsidR="00A20578" w:rsidRDefault="00A20578" w:rsidP="00BE759B">
      <w:r>
        <w:separator/>
      </w:r>
    </w:p>
  </w:footnote>
  <w:footnote w:type="continuationSeparator" w:id="0">
    <w:p w14:paraId="4088F226" w14:textId="77777777" w:rsidR="00A20578" w:rsidRDefault="00A20578" w:rsidP="00BE7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C9213" w14:textId="77777777" w:rsidR="00FD4191" w:rsidRDefault="00FD4191" w:rsidP="00BE2FA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A4734" w14:textId="77777777" w:rsidR="006A63BF" w:rsidRPr="005F6854" w:rsidRDefault="006A63BF" w:rsidP="00A56A0F">
    <w:pPr>
      <w:pStyle w:val="Header"/>
      <w:jc w:val="center"/>
    </w:pPr>
    <w:r>
      <w:rPr>
        <w:sz w:val="22"/>
      </w:rPr>
      <w:t>ATTACHMENT F</w:t>
    </w:r>
    <w:r w:rsidRPr="00441B20">
      <w:rPr>
        <w:sz w:val="22"/>
      </w:rPr>
      <w:t xml:space="preserve"> - PROPOSED AMENDED </w:t>
    </w:r>
    <w:r>
      <w:rPr>
        <w:sz w:val="22"/>
      </w:rPr>
      <w:t xml:space="preserve">NEW SOURCE REVIEW </w:t>
    </w:r>
    <w:r w:rsidRPr="00441B20">
      <w:rPr>
        <w:sz w:val="22"/>
      </w:rPr>
      <w:t>RULES</w:t>
    </w:r>
    <w:r>
      <w:rPr>
        <w:sz w:val="22"/>
      </w:rPr>
      <w:t xml:space="preserve"> THAT MAY HAVE IMPLICATIONS RELATIVE TO THE “PROTECT CALIFORNIA AIR ACT OF 2003” (SB 288, HEALTH AND SAFETY CODE SECTION 42500 </w:t>
    </w:r>
    <w:r>
      <w:rPr>
        <w:i/>
        <w:sz w:val="22"/>
      </w:rPr>
      <w:t>ET SEQ.</w:t>
    </w:r>
    <w:r>
      <w:rPr>
        <w:sz w:val="22"/>
      </w:rPr>
      <w:t>)</w:t>
    </w:r>
  </w:p>
  <w:p w14:paraId="513A823C" w14:textId="77777777" w:rsidR="006A63BF" w:rsidRDefault="006A63BF" w:rsidP="00A56A0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403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61EA4"/>
    <w:multiLevelType w:val="hybridMultilevel"/>
    <w:tmpl w:val="0B922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D6541"/>
    <w:multiLevelType w:val="singleLevel"/>
    <w:tmpl w:val="810E753A"/>
    <w:lvl w:ilvl="0">
      <w:start w:val="4"/>
      <w:numFmt w:val="decimal"/>
      <w:lvlText w:val="%1."/>
      <w:lvlJc w:val="left"/>
      <w:pPr>
        <w:tabs>
          <w:tab w:val="num" w:pos="1440"/>
        </w:tabs>
        <w:ind w:left="1440" w:hanging="630"/>
      </w:pPr>
      <w:rPr>
        <w:rFonts w:hint="default"/>
      </w:rPr>
    </w:lvl>
  </w:abstractNum>
  <w:abstractNum w:abstractNumId="3" w15:restartNumberingAfterBreak="0">
    <w:nsid w:val="110E77A1"/>
    <w:multiLevelType w:val="singleLevel"/>
    <w:tmpl w:val="53D0A704"/>
    <w:lvl w:ilvl="0">
      <w:start w:val="1"/>
      <w:numFmt w:val="decimal"/>
      <w:lvlText w:val="%1."/>
      <w:lvlJc w:val="left"/>
      <w:pPr>
        <w:tabs>
          <w:tab w:val="num" w:pos="1440"/>
        </w:tabs>
        <w:ind w:left="1440" w:hanging="720"/>
      </w:pPr>
      <w:rPr>
        <w:rFonts w:hint="default"/>
        <w:u w:val="none"/>
      </w:rPr>
    </w:lvl>
  </w:abstractNum>
  <w:abstractNum w:abstractNumId="4" w15:restartNumberingAfterBreak="0">
    <w:nsid w:val="17293B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B31C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F8560B"/>
    <w:multiLevelType w:val="singleLevel"/>
    <w:tmpl w:val="6DA6F826"/>
    <w:lvl w:ilvl="0">
      <w:start w:val="1"/>
      <w:numFmt w:val="decimal"/>
      <w:lvlText w:val="%1."/>
      <w:lvlJc w:val="left"/>
      <w:pPr>
        <w:tabs>
          <w:tab w:val="num" w:pos="1440"/>
        </w:tabs>
        <w:ind w:left="1440" w:hanging="630"/>
      </w:pPr>
      <w:rPr>
        <w:rFonts w:hint="default"/>
      </w:rPr>
    </w:lvl>
  </w:abstractNum>
  <w:abstractNum w:abstractNumId="7" w15:restartNumberingAfterBreak="0">
    <w:nsid w:val="2F131FAA"/>
    <w:multiLevelType w:val="hybridMultilevel"/>
    <w:tmpl w:val="576AF37E"/>
    <w:lvl w:ilvl="0" w:tplc="624EC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010DAA"/>
    <w:multiLevelType w:val="singleLevel"/>
    <w:tmpl w:val="E1E0031A"/>
    <w:lvl w:ilvl="0">
      <w:start w:val="5"/>
      <w:numFmt w:val="upperLetter"/>
      <w:lvlText w:val="%1."/>
      <w:lvlJc w:val="left"/>
      <w:pPr>
        <w:tabs>
          <w:tab w:val="num" w:pos="720"/>
        </w:tabs>
        <w:ind w:left="720" w:hanging="720"/>
      </w:pPr>
      <w:rPr>
        <w:rFonts w:hint="default"/>
      </w:rPr>
    </w:lvl>
  </w:abstractNum>
  <w:abstractNum w:abstractNumId="9" w15:restartNumberingAfterBreak="0">
    <w:nsid w:val="3D702DFA"/>
    <w:multiLevelType w:val="multilevel"/>
    <w:tmpl w:val="B8AE927E"/>
    <w:lvl w:ilvl="0">
      <w:start w:val="3"/>
      <w:numFmt w:val="decimal"/>
      <w:lvlText w:val="%1.0"/>
      <w:lvlJc w:val="left"/>
      <w:pPr>
        <w:tabs>
          <w:tab w:val="num" w:pos="720"/>
        </w:tabs>
        <w:ind w:left="720" w:hanging="720"/>
      </w:pPr>
    </w:lvl>
    <w:lvl w:ilvl="1">
      <w:start w:val="1"/>
      <w:numFmt w:val="decimal"/>
      <w:lvlText w:val="%1.%2"/>
      <w:lvlJc w:val="left"/>
      <w:pPr>
        <w:tabs>
          <w:tab w:val="num" w:pos="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45120091"/>
    <w:multiLevelType w:val="singleLevel"/>
    <w:tmpl w:val="D76E4CE4"/>
    <w:lvl w:ilvl="0">
      <w:start w:val="4"/>
      <w:numFmt w:val="lowerLetter"/>
      <w:lvlText w:val="%1."/>
      <w:lvlJc w:val="left"/>
      <w:pPr>
        <w:tabs>
          <w:tab w:val="num" w:pos="2160"/>
        </w:tabs>
        <w:ind w:left="2160" w:hanging="720"/>
      </w:pPr>
      <w:rPr>
        <w:rFonts w:hint="default"/>
      </w:rPr>
    </w:lvl>
  </w:abstractNum>
  <w:abstractNum w:abstractNumId="11" w15:restartNumberingAfterBreak="0">
    <w:nsid w:val="4BF23E05"/>
    <w:multiLevelType w:val="hybridMultilevel"/>
    <w:tmpl w:val="20D63AC4"/>
    <w:lvl w:ilvl="0" w:tplc="7D800766">
      <w:start w:val="1"/>
      <w:numFmt w:val="decimal"/>
      <w:lvlText w:val="%1."/>
      <w:lvlJc w:val="left"/>
      <w:pPr>
        <w:tabs>
          <w:tab w:val="num" w:pos="1445"/>
        </w:tabs>
        <w:ind w:left="1445" w:hanging="360"/>
      </w:pPr>
    </w:lvl>
    <w:lvl w:ilvl="1" w:tplc="3BF8F202" w:tentative="1">
      <w:start w:val="1"/>
      <w:numFmt w:val="lowerLetter"/>
      <w:lvlText w:val="%2."/>
      <w:lvlJc w:val="left"/>
      <w:pPr>
        <w:tabs>
          <w:tab w:val="num" w:pos="2165"/>
        </w:tabs>
        <w:ind w:left="2165" w:hanging="360"/>
      </w:pPr>
    </w:lvl>
    <w:lvl w:ilvl="2" w:tplc="FD50B1F0" w:tentative="1">
      <w:start w:val="1"/>
      <w:numFmt w:val="lowerRoman"/>
      <w:lvlText w:val="%3."/>
      <w:lvlJc w:val="right"/>
      <w:pPr>
        <w:tabs>
          <w:tab w:val="num" w:pos="2885"/>
        </w:tabs>
        <w:ind w:left="2885" w:hanging="180"/>
      </w:pPr>
    </w:lvl>
    <w:lvl w:ilvl="3" w:tplc="E87C7906" w:tentative="1">
      <w:start w:val="1"/>
      <w:numFmt w:val="decimal"/>
      <w:lvlText w:val="%4."/>
      <w:lvlJc w:val="left"/>
      <w:pPr>
        <w:tabs>
          <w:tab w:val="num" w:pos="3605"/>
        </w:tabs>
        <w:ind w:left="3605" w:hanging="360"/>
      </w:pPr>
    </w:lvl>
    <w:lvl w:ilvl="4" w:tplc="56E0277E" w:tentative="1">
      <w:start w:val="1"/>
      <w:numFmt w:val="lowerLetter"/>
      <w:lvlText w:val="%5."/>
      <w:lvlJc w:val="left"/>
      <w:pPr>
        <w:tabs>
          <w:tab w:val="num" w:pos="4325"/>
        </w:tabs>
        <w:ind w:left="4325" w:hanging="360"/>
      </w:pPr>
    </w:lvl>
    <w:lvl w:ilvl="5" w:tplc="50CAAD54" w:tentative="1">
      <w:start w:val="1"/>
      <w:numFmt w:val="lowerRoman"/>
      <w:lvlText w:val="%6."/>
      <w:lvlJc w:val="right"/>
      <w:pPr>
        <w:tabs>
          <w:tab w:val="num" w:pos="5045"/>
        </w:tabs>
        <w:ind w:left="5045" w:hanging="180"/>
      </w:pPr>
    </w:lvl>
    <w:lvl w:ilvl="6" w:tplc="FA4A9786" w:tentative="1">
      <w:start w:val="1"/>
      <w:numFmt w:val="decimal"/>
      <w:lvlText w:val="%7."/>
      <w:lvlJc w:val="left"/>
      <w:pPr>
        <w:tabs>
          <w:tab w:val="num" w:pos="5765"/>
        </w:tabs>
        <w:ind w:left="5765" w:hanging="360"/>
      </w:pPr>
    </w:lvl>
    <w:lvl w:ilvl="7" w:tplc="9DC2AA64" w:tentative="1">
      <w:start w:val="1"/>
      <w:numFmt w:val="lowerLetter"/>
      <w:lvlText w:val="%8."/>
      <w:lvlJc w:val="left"/>
      <w:pPr>
        <w:tabs>
          <w:tab w:val="num" w:pos="6485"/>
        </w:tabs>
        <w:ind w:left="6485" w:hanging="360"/>
      </w:pPr>
    </w:lvl>
    <w:lvl w:ilvl="8" w:tplc="4184DF40" w:tentative="1">
      <w:start w:val="1"/>
      <w:numFmt w:val="lowerRoman"/>
      <w:lvlText w:val="%9."/>
      <w:lvlJc w:val="right"/>
      <w:pPr>
        <w:tabs>
          <w:tab w:val="num" w:pos="7205"/>
        </w:tabs>
        <w:ind w:left="7205" w:hanging="180"/>
      </w:pPr>
    </w:lvl>
  </w:abstractNum>
  <w:abstractNum w:abstractNumId="12" w15:restartNumberingAfterBreak="0">
    <w:nsid w:val="58575CA1"/>
    <w:multiLevelType w:val="multilevel"/>
    <w:tmpl w:val="98F0CE68"/>
    <w:styleLink w:val="NumberPerio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C834AFB"/>
    <w:multiLevelType w:val="singleLevel"/>
    <w:tmpl w:val="FF445790"/>
    <w:lvl w:ilvl="0">
      <w:start w:val="1"/>
      <w:numFmt w:val="upperLetter"/>
      <w:lvlText w:val="%1."/>
      <w:lvlJc w:val="left"/>
      <w:pPr>
        <w:tabs>
          <w:tab w:val="num" w:pos="720"/>
        </w:tabs>
        <w:ind w:left="720" w:hanging="720"/>
      </w:pPr>
      <w:rPr>
        <w:rFonts w:hint="default"/>
      </w:rPr>
    </w:lvl>
  </w:abstractNum>
  <w:abstractNum w:abstractNumId="14" w15:restartNumberingAfterBreak="0">
    <w:nsid w:val="5EDF6E85"/>
    <w:multiLevelType w:val="singleLevel"/>
    <w:tmpl w:val="622A7306"/>
    <w:lvl w:ilvl="0">
      <w:start w:val="1"/>
      <w:numFmt w:val="lowerLetter"/>
      <w:lvlText w:val="%1."/>
      <w:lvlJc w:val="left"/>
      <w:pPr>
        <w:tabs>
          <w:tab w:val="num" w:pos="2160"/>
        </w:tabs>
        <w:ind w:left="2160" w:hanging="720"/>
      </w:pPr>
      <w:rPr>
        <w:rFonts w:hint="default"/>
      </w:rPr>
    </w:lvl>
  </w:abstractNum>
  <w:abstractNum w:abstractNumId="15" w15:restartNumberingAfterBreak="0">
    <w:nsid w:val="652916C2"/>
    <w:multiLevelType w:val="hybridMultilevel"/>
    <w:tmpl w:val="0C1CE2C2"/>
    <w:lvl w:ilvl="0" w:tplc="2D4C120E">
      <w:start w:val="1"/>
      <w:numFmt w:val="decimal"/>
      <w:lvlText w:val="%1."/>
      <w:lvlJc w:val="left"/>
      <w:pPr>
        <w:tabs>
          <w:tab w:val="num" w:pos="1080"/>
        </w:tabs>
        <w:ind w:left="1080" w:hanging="360"/>
      </w:pPr>
      <w:rPr>
        <w:rFonts w:hint="default"/>
      </w:rPr>
    </w:lvl>
    <w:lvl w:ilvl="1" w:tplc="F3000A2C" w:tentative="1">
      <w:start w:val="1"/>
      <w:numFmt w:val="lowerLetter"/>
      <w:lvlText w:val="%2."/>
      <w:lvlJc w:val="left"/>
      <w:pPr>
        <w:tabs>
          <w:tab w:val="num" w:pos="1800"/>
        </w:tabs>
        <w:ind w:left="1800" w:hanging="360"/>
      </w:pPr>
    </w:lvl>
    <w:lvl w:ilvl="2" w:tplc="B3460B68" w:tentative="1">
      <w:start w:val="1"/>
      <w:numFmt w:val="lowerRoman"/>
      <w:lvlText w:val="%3."/>
      <w:lvlJc w:val="right"/>
      <w:pPr>
        <w:tabs>
          <w:tab w:val="num" w:pos="2520"/>
        </w:tabs>
        <w:ind w:left="2520" w:hanging="180"/>
      </w:pPr>
    </w:lvl>
    <w:lvl w:ilvl="3" w:tplc="165AED22" w:tentative="1">
      <w:start w:val="1"/>
      <w:numFmt w:val="decimal"/>
      <w:lvlText w:val="%4."/>
      <w:lvlJc w:val="left"/>
      <w:pPr>
        <w:tabs>
          <w:tab w:val="num" w:pos="3240"/>
        </w:tabs>
        <w:ind w:left="3240" w:hanging="360"/>
      </w:pPr>
    </w:lvl>
    <w:lvl w:ilvl="4" w:tplc="E5520106" w:tentative="1">
      <w:start w:val="1"/>
      <w:numFmt w:val="lowerLetter"/>
      <w:lvlText w:val="%5."/>
      <w:lvlJc w:val="left"/>
      <w:pPr>
        <w:tabs>
          <w:tab w:val="num" w:pos="3960"/>
        </w:tabs>
        <w:ind w:left="3960" w:hanging="360"/>
      </w:pPr>
    </w:lvl>
    <w:lvl w:ilvl="5" w:tplc="A378AC36" w:tentative="1">
      <w:start w:val="1"/>
      <w:numFmt w:val="lowerRoman"/>
      <w:lvlText w:val="%6."/>
      <w:lvlJc w:val="right"/>
      <w:pPr>
        <w:tabs>
          <w:tab w:val="num" w:pos="4680"/>
        </w:tabs>
        <w:ind w:left="4680" w:hanging="180"/>
      </w:pPr>
    </w:lvl>
    <w:lvl w:ilvl="6" w:tplc="1414B760" w:tentative="1">
      <w:start w:val="1"/>
      <w:numFmt w:val="decimal"/>
      <w:lvlText w:val="%7."/>
      <w:lvlJc w:val="left"/>
      <w:pPr>
        <w:tabs>
          <w:tab w:val="num" w:pos="5400"/>
        </w:tabs>
        <w:ind w:left="5400" w:hanging="360"/>
      </w:pPr>
    </w:lvl>
    <w:lvl w:ilvl="7" w:tplc="660653E2" w:tentative="1">
      <w:start w:val="1"/>
      <w:numFmt w:val="lowerLetter"/>
      <w:lvlText w:val="%8."/>
      <w:lvlJc w:val="left"/>
      <w:pPr>
        <w:tabs>
          <w:tab w:val="num" w:pos="6120"/>
        </w:tabs>
        <w:ind w:left="6120" w:hanging="360"/>
      </w:pPr>
    </w:lvl>
    <w:lvl w:ilvl="8" w:tplc="802EDEC8" w:tentative="1">
      <w:start w:val="1"/>
      <w:numFmt w:val="lowerRoman"/>
      <w:lvlText w:val="%9."/>
      <w:lvlJc w:val="right"/>
      <w:pPr>
        <w:tabs>
          <w:tab w:val="num" w:pos="6840"/>
        </w:tabs>
        <w:ind w:left="6840" w:hanging="180"/>
      </w:pPr>
    </w:lvl>
  </w:abstractNum>
  <w:abstractNum w:abstractNumId="16" w15:restartNumberingAfterBreak="0">
    <w:nsid w:val="672E2D10"/>
    <w:multiLevelType w:val="singleLevel"/>
    <w:tmpl w:val="12DA9E20"/>
    <w:lvl w:ilvl="0">
      <w:start w:val="1"/>
      <w:numFmt w:val="lowerLetter"/>
      <w:lvlText w:val="%1)"/>
      <w:legacy w:legacy="1" w:legacySpace="0" w:legacyIndent="360"/>
      <w:lvlJc w:val="left"/>
      <w:pPr>
        <w:ind w:left="2160" w:hanging="360"/>
      </w:pPr>
    </w:lvl>
  </w:abstractNum>
  <w:abstractNum w:abstractNumId="17" w15:restartNumberingAfterBreak="0">
    <w:nsid w:val="67F9123E"/>
    <w:multiLevelType w:val="singleLevel"/>
    <w:tmpl w:val="34B674C0"/>
    <w:lvl w:ilvl="0">
      <w:start w:val="4"/>
      <w:numFmt w:val="lowerLetter"/>
      <w:lvlText w:val="%1."/>
      <w:lvlJc w:val="left"/>
      <w:pPr>
        <w:tabs>
          <w:tab w:val="num" w:pos="2160"/>
        </w:tabs>
        <w:ind w:left="2160" w:hanging="720"/>
      </w:pPr>
      <w:rPr>
        <w:rFonts w:hint="default"/>
      </w:rPr>
    </w:lvl>
  </w:abstractNum>
  <w:abstractNum w:abstractNumId="18" w15:restartNumberingAfterBreak="0">
    <w:nsid w:val="696D4D1D"/>
    <w:multiLevelType w:val="singleLevel"/>
    <w:tmpl w:val="2634F33C"/>
    <w:lvl w:ilvl="0">
      <w:start w:val="3"/>
      <w:numFmt w:val="lowerLetter"/>
      <w:lvlText w:val="%1."/>
      <w:lvlJc w:val="left"/>
      <w:pPr>
        <w:tabs>
          <w:tab w:val="num" w:pos="2160"/>
        </w:tabs>
        <w:ind w:left="2160" w:hanging="720"/>
      </w:pPr>
      <w:rPr>
        <w:rFonts w:hint="default"/>
      </w:rPr>
    </w:lvl>
  </w:abstractNum>
  <w:abstractNum w:abstractNumId="19" w15:restartNumberingAfterBreak="0">
    <w:nsid w:val="6A7974ED"/>
    <w:multiLevelType w:val="singleLevel"/>
    <w:tmpl w:val="12DA9E20"/>
    <w:lvl w:ilvl="0">
      <w:start w:val="1"/>
      <w:numFmt w:val="lowerLetter"/>
      <w:lvlText w:val="%1)"/>
      <w:legacy w:legacy="1" w:legacySpace="0" w:legacyIndent="360"/>
      <w:lvlJc w:val="left"/>
      <w:pPr>
        <w:ind w:left="1224" w:hanging="360"/>
      </w:pPr>
    </w:lvl>
  </w:abstractNum>
  <w:abstractNum w:abstractNumId="20" w15:restartNumberingAfterBreak="0">
    <w:nsid w:val="6BE2192B"/>
    <w:multiLevelType w:val="multilevel"/>
    <w:tmpl w:val="8970F924"/>
    <w:lvl w:ilvl="0">
      <w:start w:val="2"/>
      <w:numFmt w:val="decimal"/>
      <w:lvlText w:val="%1"/>
      <w:lvlJc w:val="left"/>
      <w:pPr>
        <w:tabs>
          <w:tab w:val="num" w:pos="720"/>
        </w:tabs>
        <w:ind w:left="720" w:hanging="720"/>
      </w:pPr>
      <w:rPr>
        <w:rFonts w:hint="default"/>
      </w:rPr>
    </w:lvl>
    <w:lvl w:ilvl="1">
      <w:start w:val="2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7A5604FE"/>
    <w:multiLevelType w:val="singleLevel"/>
    <w:tmpl w:val="7EA26AEA"/>
    <w:lvl w:ilvl="0">
      <w:start w:val="1"/>
      <w:numFmt w:val="lowerLetter"/>
      <w:lvlText w:val="%1."/>
      <w:lvlJc w:val="left"/>
      <w:pPr>
        <w:tabs>
          <w:tab w:val="num" w:pos="2160"/>
        </w:tabs>
        <w:ind w:left="2160" w:hanging="720"/>
      </w:pPr>
      <w:rPr>
        <w:rFonts w:hint="default"/>
      </w:rPr>
    </w:lvl>
  </w:abstractNum>
  <w:abstractNum w:abstractNumId="22" w15:restartNumberingAfterBreak="0">
    <w:nsid w:val="7D5027F9"/>
    <w:multiLevelType w:val="hybridMultilevel"/>
    <w:tmpl w:val="DC80A290"/>
    <w:lvl w:ilvl="0" w:tplc="EF4C0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15"/>
  </w:num>
  <w:num w:numId="5">
    <w:abstractNumId w:val="20"/>
  </w:num>
  <w:num w:numId="6">
    <w:abstractNumId w:val="18"/>
  </w:num>
  <w:num w:numId="7">
    <w:abstractNumId w:val="17"/>
  </w:num>
  <w:num w:numId="8">
    <w:abstractNumId w:val="8"/>
  </w:num>
  <w:num w:numId="9">
    <w:abstractNumId w:val="6"/>
  </w:num>
  <w:num w:numId="10">
    <w:abstractNumId w:val="10"/>
  </w:num>
  <w:num w:numId="11">
    <w:abstractNumId w:val="3"/>
  </w:num>
  <w:num w:numId="12">
    <w:abstractNumId w:val="21"/>
  </w:num>
  <w:num w:numId="13">
    <w:abstractNumId w:val="2"/>
  </w:num>
  <w:num w:numId="14">
    <w:abstractNumId w:val="14"/>
  </w:num>
  <w:num w:numId="15">
    <w:abstractNumId w:val="5"/>
  </w:num>
  <w:num w:numId="16">
    <w:abstractNumId w:val="0"/>
  </w:num>
  <w:num w:numId="17">
    <w:abstractNumId w:val="4"/>
  </w:num>
  <w:num w:numId="18">
    <w:abstractNumId w:val="13"/>
  </w:num>
  <w:num w:numId="19">
    <w:abstractNumId w:val="7"/>
  </w:num>
  <w:num w:numId="20">
    <w:abstractNumId w:val="22"/>
  </w:num>
  <w:num w:numId="21">
    <w:abstractNumId w:val="19"/>
  </w:num>
  <w:num w:numId="22">
    <w:abstractNumId w:val="1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oNotTrackFormatting/>
  <w:defaultTabStop w:val="720"/>
  <w:characterSpacingControl w:val="doNotCompress"/>
  <w:hdrShapeDefaults>
    <o:shapedefaults v:ext="edit" spidmax="18433"/>
  </w:hdrShapeDefault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2B"/>
    <w:rsid w:val="00001141"/>
    <w:rsid w:val="0000392A"/>
    <w:rsid w:val="00003C28"/>
    <w:rsid w:val="000041D9"/>
    <w:rsid w:val="00007E69"/>
    <w:rsid w:val="00011273"/>
    <w:rsid w:val="0001285A"/>
    <w:rsid w:val="000131A6"/>
    <w:rsid w:val="000149E2"/>
    <w:rsid w:val="00016254"/>
    <w:rsid w:val="00017AF0"/>
    <w:rsid w:val="00017F86"/>
    <w:rsid w:val="00023560"/>
    <w:rsid w:val="00024754"/>
    <w:rsid w:val="000247E2"/>
    <w:rsid w:val="000262D1"/>
    <w:rsid w:val="00033EE6"/>
    <w:rsid w:val="0004204C"/>
    <w:rsid w:val="00043293"/>
    <w:rsid w:val="00045787"/>
    <w:rsid w:val="000471F1"/>
    <w:rsid w:val="000509A9"/>
    <w:rsid w:val="000513B6"/>
    <w:rsid w:val="0005339C"/>
    <w:rsid w:val="0005434B"/>
    <w:rsid w:val="00057A71"/>
    <w:rsid w:val="00061048"/>
    <w:rsid w:val="00061A1B"/>
    <w:rsid w:val="0006278C"/>
    <w:rsid w:val="00064039"/>
    <w:rsid w:val="00065615"/>
    <w:rsid w:val="000667E0"/>
    <w:rsid w:val="0007067F"/>
    <w:rsid w:val="00070BB2"/>
    <w:rsid w:val="00071665"/>
    <w:rsid w:val="00072830"/>
    <w:rsid w:val="00075832"/>
    <w:rsid w:val="00077AF5"/>
    <w:rsid w:val="0008138A"/>
    <w:rsid w:val="000845FA"/>
    <w:rsid w:val="000856BB"/>
    <w:rsid w:val="00086387"/>
    <w:rsid w:val="00086C3C"/>
    <w:rsid w:val="000912DA"/>
    <w:rsid w:val="00091342"/>
    <w:rsid w:val="00091A34"/>
    <w:rsid w:val="00094A52"/>
    <w:rsid w:val="00094F10"/>
    <w:rsid w:val="00095561"/>
    <w:rsid w:val="00096038"/>
    <w:rsid w:val="000968B6"/>
    <w:rsid w:val="00096DFD"/>
    <w:rsid w:val="00096EBA"/>
    <w:rsid w:val="000A0E72"/>
    <w:rsid w:val="000A3143"/>
    <w:rsid w:val="000A315C"/>
    <w:rsid w:val="000A6412"/>
    <w:rsid w:val="000A6CD4"/>
    <w:rsid w:val="000A7B6E"/>
    <w:rsid w:val="000B004E"/>
    <w:rsid w:val="000B17B9"/>
    <w:rsid w:val="000B214F"/>
    <w:rsid w:val="000B2C7A"/>
    <w:rsid w:val="000B3ED7"/>
    <w:rsid w:val="000B7B25"/>
    <w:rsid w:val="000C3DDD"/>
    <w:rsid w:val="000C421D"/>
    <w:rsid w:val="000C42DD"/>
    <w:rsid w:val="000D1012"/>
    <w:rsid w:val="000D15E4"/>
    <w:rsid w:val="000D24E3"/>
    <w:rsid w:val="000D256C"/>
    <w:rsid w:val="000D5FC5"/>
    <w:rsid w:val="000D6630"/>
    <w:rsid w:val="000D7B43"/>
    <w:rsid w:val="000E0EDC"/>
    <w:rsid w:val="000E3759"/>
    <w:rsid w:val="000E5621"/>
    <w:rsid w:val="000E6EBC"/>
    <w:rsid w:val="000F013A"/>
    <w:rsid w:val="000F05EE"/>
    <w:rsid w:val="000F1403"/>
    <w:rsid w:val="000F25D8"/>
    <w:rsid w:val="000F38F9"/>
    <w:rsid w:val="000F4A5A"/>
    <w:rsid w:val="000F618A"/>
    <w:rsid w:val="000F730B"/>
    <w:rsid w:val="0010028C"/>
    <w:rsid w:val="00101754"/>
    <w:rsid w:val="001062A4"/>
    <w:rsid w:val="00111BEE"/>
    <w:rsid w:val="00115409"/>
    <w:rsid w:val="00116B6F"/>
    <w:rsid w:val="001216C5"/>
    <w:rsid w:val="001222BF"/>
    <w:rsid w:val="00122744"/>
    <w:rsid w:val="001263A6"/>
    <w:rsid w:val="0012798A"/>
    <w:rsid w:val="00130AF3"/>
    <w:rsid w:val="00131B77"/>
    <w:rsid w:val="0013414B"/>
    <w:rsid w:val="001349A1"/>
    <w:rsid w:val="0013604F"/>
    <w:rsid w:val="00137272"/>
    <w:rsid w:val="001376A0"/>
    <w:rsid w:val="00141EE4"/>
    <w:rsid w:val="00141F14"/>
    <w:rsid w:val="00142001"/>
    <w:rsid w:val="00142744"/>
    <w:rsid w:val="001431D6"/>
    <w:rsid w:val="00144473"/>
    <w:rsid w:val="0014551B"/>
    <w:rsid w:val="001510F8"/>
    <w:rsid w:val="001522F3"/>
    <w:rsid w:val="0015267C"/>
    <w:rsid w:val="00152E53"/>
    <w:rsid w:val="00153C35"/>
    <w:rsid w:val="00155D25"/>
    <w:rsid w:val="00155E27"/>
    <w:rsid w:val="00163183"/>
    <w:rsid w:val="00164049"/>
    <w:rsid w:val="00172AF1"/>
    <w:rsid w:val="00172DE4"/>
    <w:rsid w:val="00174688"/>
    <w:rsid w:val="00175A62"/>
    <w:rsid w:val="0017639C"/>
    <w:rsid w:val="001767C9"/>
    <w:rsid w:val="0017776E"/>
    <w:rsid w:val="00177C43"/>
    <w:rsid w:val="00177D07"/>
    <w:rsid w:val="001800AA"/>
    <w:rsid w:val="001831A6"/>
    <w:rsid w:val="00185FE9"/>
    <w:rsid w:val="001860B3"/>
    <w:rsid w:val="001875B2"/>
    <w:rsid w:val="001876F0"/>
    <w:rsid w:val="00187CA2"/>
    <w:rsid w:val="00187D43"/>
    <w:rsid w:val="00190594"/>
    <w:rsid w:val="00190DDF"/>
    <w:rsid w:val="0019230F"/>
    <w:rsid w:val="00192BB4"/>
    <w:rsid w:val="00193D40"/>
    <w:rsid w:val="00194B88"/>
    <w:rsid w:val="001A0339"/>
    <w:rsid w:val="001A037D"/>
    <w:rsid w:val="001A1623"/>
    <w:rsid w:val="001A3559"/>
    <w:rsid w:val="001A6FC0"/>
    <w:rsid w:val="001B1151"/>
    <w:rsid w:val="001B124F"/>
    <w:rsid w:val="001B3E47"/>
    <w:rsid w:val="001B4AEB"/>
    <w:rsid w:val="001B4E26"/>
    <w:rsid w:val="001B686C"/>
    <w:rsid w:val="001B7AD7"/>
    <w:rsid w:val="001B7BED"/>
    <w:rsid w:val="001C1880"/>
    <w:rsid w:val="001C1A9B"/>
    <w:rsid w:val="001C1EFA"/>
    <w:rsid w:val="001C2581"/>
    <w:rsid w:val="001C3447"/>
    <w:rsid w:val="001C535C"/>
    <w:rsid w:val="001D05B9"/>
    <w:rsid w:val="001D1F9A"/>
    <w:rsid w:val="001D2360"/>
    <w:rsid w:val="001D2905"/>
    <w:rsid w:val="001D3164"/>
    <w:rsid w:val="001D3B36"/>
    <w:rsid w:val="001D4E88"/>
    <w:rsid w:val="001D6A2F"/>
    <w:rsid w:val="001D79B0"/>
    <w:rsid w:val="001E00B7"/>
    <w:rsid w:val="001E0B63"/>
    <w:rsid w:val="001E141D"/>
    <w:rsid w:val="001E4257"/>
    <w:rsid w:val="001E75A5"/>
    <w:rsid w:val="001F3C8C"/>
    <w:rsid w:val="001F3CCB"/>
    <w:rsid w:val="001F5EC3"/>
    <w:rsid w:val="001F6BB4"/>
    <w:rsid w:val="0020095A"/>
    <w:rsid w:val="00202ADA"/>
    <w:rsid w:val="00203675"/>
    <w:rsid w:val="0020381C"/>
    <w:rsid w:val="00205BE3"/>
    <w:rsid w:val="00207469"/>
    <w:rsid w:val="00210594"/>
    <w:rsid w:val="00216A8C"/>
    <w:rsid w:val="00216F88"/>
    <w:rsid w:val="002175CF"/>
    <w:rsid w:val="00221428"/>
    <w:rsid w:val="002217B8"/>
    <w:rsid w:val="00222E43"/>
    <w:rsid w:val="00223B52"/>
    <w:rsid w:val="00223D84"/>
    <w:rsid w:val="00224BF3"/>
    <w:rsid w:val="002260CA"/>
    <w:rsid w:val="0023016B"/>
    <w:rsid w:val="00230862"/>
    <w:rsid w:val="0023152B"/>
    <w:rsid w:val="0023405C"/>
    <w:rsid w:val="002341EC"/>
    <w:rsid w:val="002349B2"/>
    <w:rsid w:val="00235516"/>
    <w:rsid w:val="002374BB"/>
    <w:rsid w:val="002376C1"/>
    <w:rsid w:val="00237C22"/>
    <w:rsid w:val="00241D60"/>
    <w:rsid w:val="002459D9"/>
    <w:rsid w:val="00245A2A"/>
    <w:rsid w:val="00245F53"/>
    <w:rsid w:val="00246406"/>
    <w:rsid w:val="00247070"/>
    <w:rsid w:val="002504E5"/>
    <w:rsid w:val="002513DF"/>
    <w:rsid w:val="0025175E"/>
    <w:rsid w:val="00253212"/>
    <w:rsid w:val="00253511"/>
    <w:rsid w:val="002538C6"/>
    <w:rsid w:val="00253A23"/>
    <w:rsid w:val="00254039"/>
    <w:rsid w:val="0025463C"/>
    <w:rsid w:val="00254FAB"/>
    <w:rsid w:val="002553BA"/>
    <w:rsid w:val="0025614F"/>
    <w:rsid w:val="002573F8"/>
    <w:rsid w:val="002574ED"/>
    <w:rsid w:val="00260E13"/>
    <w:rsid w:val="00262122"/>
    <w:rsid w:val="00263D13"/>
    <w:rsid w:val="00266537"/>
    <w:rsid w:val="002702F7"/>
    <w:rsid w:val="002704FE"/>
    <w:rsid w:val="00271B57"/>
    <w:rsid w:val="002732B4"/>
    <w:rsid w:val="00275288"/>
    <w:rsid w:val="002777C6"/>
    <w:rsid w:val="00280979"/>
    <w:rsid w:val="00281F83"/>
    <w:rsid w:val="00284DD2"/>
    <w:rsid w:val="0028746E"/>
    <w:rsid w:val="0028761E"/>
    <w:rsid w:val="00287AA4"/>
    <w:rsid w:val="00287B75"/>
    <w:rsid w:val="002909E9"/>
    <w:rsid w:val="00296B4B"/>
    <w:rsid w:val="00296F87"/>
    <w:rsid w:val="002A0FF9"/>
    <w:rsid w:val="002A19FB"/>
    <w:rsid w:val="002A1A94"/>
    <w:rsid w:val="002A445E"/>
    <w:rsid w:val="002A5951"/>
    <w:rsid w:val="002A7231"/>
    <w:rsid w:val="002B0D03"/>
    <w:rsid w:val="002B2F4C"/>
    <w:rsid w:val="002B46B8"/>
    <w:rsid w:val="002B4E83"/>
    <w:rsid w:val="002B5D72"/>
    <w:rsid w:val="002B6A34"/>
    <w:rsid w:val="002B6FE6"/>
    <w:rsid w:val="002B73B4"/>
    <w:rsid w:val="002B7A91"/>
    <w:rsid w:val="002C61BD"/>
    <w:rsid w:val="002C667C"/>
    <w:rsid w:val="002C66B2"/>
    <w:rsid w:val="002D4E87"/>
    <w:rsid w:val="002E09B0"/>
    <w:rsid w:val="002E0A6A"/>
    <w:rsid w:val="002E1B71"/>
    <w:rsid w:val="002E660E"/>
    <w:rsid w:val="002E7747"/>
    <w:rsid w:val="002F158C"/>
    <w:rsid w:val="002F176F"/>
    <w:rsid w:val="002F2BC1"/>
    <w:rsid w:val="002F4596"/>
    <w:rsid w:val="00300153"/>
    <w:rsid w:val="003003DA"/>
    <w:rsid w:val="00300EB4"/>
    <w:rsid w:val="00312531"/>
    <w:rsid w:val="003125B8"/>
    <w:rsid w:val="0031284F"/>
    <w:rsid w:val="0031574A"/>
    <w:rsid w:val="0032112A"/>
    <w:rsid w:val="00321277"/>
    <w:rsid w:val="00321D0F"/>
    <w:rsid w:val="00322E64"/>
    <w:rsid w:val="0032381B"/>
    <w:rsid w:val="00323A88"/>
    <w:rsid w:val="00324C4E"/>
    <w:rsid w:val="00327D28"/>
    <w:rsid w:val="00331452"/>
    <w:rsid w:val="0033156F"/>
    <w:rsid w:val="003330D5"/>
    <w:rsid w:val="00333E60"/>
    <w:rsid w:val="003341F3"/>
    <w:rsid w:val="003348D4"/>
    <w:rsid w:val="00334E9A"/>
    <w:rsid w:val="00335CF0"/>
    <w:rsid w:val="00343BC7"/>
    <w:rsid w:val="003471CB"/>
    <w:rsid w:val="00347296"/>
    <w:rsid w:val="00347F79"/>
    <w:rsid w:val="0035085E"/>
    <w:rsid w:val="00352C7C"/>
    <w:rsid w:val="00353DED"/>
    <w:rsid w:val="00354061"/>
    <w:rsid w:val="00356105"/>
    <w:rsid w:val="00356CED"/>
    <w:rsid w:val="00360A15"/>
    <w:rsid w:val="003611B1"/>
    <w:rsid w:val="003629E6"/>
    <w:rsid w:val="00362F34"/>
    <w:rsid w:val="00364047"/>
    <w:rsid w:val="00364CCF"/>
    <w:rsid w:val="00366988"/>
    <w:rsid w:val="0036750F"/>
    <w:rsid w:val="0037002D"/>
    <w:rsid w:val="00371774"/>
    <w:rsid w:val="0037305B"/>
    <w:rsid w:val="00373699"/>
    <w:rsid w:val="00373CB1"/>
    <w:rsid w:val="003744FA"/>
    <w:rsid w:val="0037486A"/>
    <w:rsid w:val="00374F11"/>
    <w:rsid w:val="00376053"/>
    <w:rsid w:val="00380CB6"/>
    <w:rsid w:val="00386410"/>
    <w:rsid w:val="00386797"/>
    <w:rsid w:val="00387B15"/>
    <w:rsid w:val="00387C78"/>
    <w:rsid w:val="003909F5"/>
    <w:rsid w:val="00390B4F"/>
    <w:rsid w:val="00390D30"/>
    <w:rsid w:val="00390E6B"/>
    <w:rsid w:val="00392825"/>
    <w:rsid w:val="003930CA"/>
    <w:rsid w:val="003961F2"/>
    <w:rsid w:val="00396D09"/>
    <w:rsid w:val="00397773"/>
    <w:rsid w:val="003A168A"/>
    <w:rsid w:val="003A37D4"/>
    <w:rsid w:val="003A470B"/>
    <w:rsid w:val="003A4C38"/>
    <w:rsid w:val="003A4C5D"/>
    <w:rsid w:val="003A4D6A"/>
    <w:rsid w:val="003A52F9"/>
    <w:rsid w:val="003A5D4D"/>
    <w:rsid w:val="003A70AD"/>
    <w:rsid w:val="003B1AB0"/>
    <w:rsid w:val="003B23BA"/>
    <w:rsid w:val="003B24CC"/>
    <w:rsid w:val="003B2BC8"/>
    <w:rsid w:val="003B40D2"/>
    <w:rsid w:val="003B4A21"/>
    <w:rsid w:val="003B4F44"/>
    <w:rsid w:val="003B50CA"/>
    <w:rsid w:val="003C77D0"/>
    <w:rsid w:val="003D1E9E"/>
    <w:rsid w:val="003D2795"/>
    <w:rsid w:val="003D3D3D"/>
    <w:rsid w:val="003D48D2"/>
    <w:rsid w:val="003D5993"/>
    <w:rsid w:val="003D5C66"/>
    <w:rsid w:val="003D5C71"/>
    <w:rsid w:val="003D5CEB"/>
    <w:rsid w:val="003D66D6"/>
    <w:rsid w:val="003E0471"/>
    <w:rsid w:val="003F070B"/>
    <w:rsid w:val="003F1407"/>
    <w:rsid w:val="003F23CE"/>
    <w:rsid w:val="003F3666"/>
    <w:rsid w:val="003F4B28"/>
    <w:rsid w:val="003F57B3"/>
    <w:rsid w:val="003F59C5"/>
    <w:rsid w:val="004010E1"/>
    <w:rsid w:val="00403ADD"/>
    <w:rsid w:val="00403E25"/>
    <w:rsid w:val="00406496"/>
    <w:rsid w:val="00406F1F"/>
    <w:rsid w:val="00407B90"/>
    <w:rsid w:val="00411739"/>
    <w:rsid w:val="00412BBF"/>
    <w:rsid w:val="00412F86"/>
    <w:rsid w:val="00414838"/>
    <w:rsid w:val="00416DD1"/>
    <w:rsid w:val="0041718E"/>
    <w:rsid w:val="00420B7D"/>
    <w:rsid w:val="00421754"/>
    <w:rsid w:val="00422868"/>
    <w:rsid w:val="00424C4A"/>
    <w:rsid w:val="004255AE"/>
    <w:rsid w:val="0042740D"/>
    <w:rsid w:val="004274AF"/>
    <w:rsid w:val="004302B0"/>
    <w:rsid w:val="00430A37"/>
    <w:rsid w:val="00430C7F"/>
    <w:rsid w:val="00433567"/>
    <w:rsid w:val="0043454B"/>
    <w:rsid w:val="00435193"/>
    <w:rsid w:val="004354DD"/>
    <w:rsid w:val="0043565C"/>
    <w:rsid w:val="00436B8F"/>
    <w:rsid w:val="0043710C"/>
    <w:rsid w:val="00437979"/>
    <w:rsid w:val="004406E7"/>
    <w:rsid w:val="00441B20"/>
    <w:rsid w:val="004469A7"/>
    <w:rsid w:val="004504D1"/>
    <w:rsid w:val="00451926"/>
    <w:rsid w:val="00451C80"/>
    <w:rsid w:val="004543E2"/>
    <w:rsid w:val="004548F0"/>
    <w:rsid w:val="00454D10"/>
    <w:rsid w:val="00457809"/>
    <w:rsid w:val="00462CFA"/>
    <w:rsid w:val="004644AC"/>
    <w:rsid w:val="00464C81"/>
    <w:rsid w:val="00464ED8"/>
    <w:rsid w:val="004658DC"/>
    <w:rsid w:val="0046792B"/>
    <w:rsid w:val="0047224A"/>
    <w:rsid w:val="0047406C"/>
    <w:rsid w:val="00474CA1"/>
    <w:rsid w:val="00476412"/>
    <w:rsid w:val="00481D82"/>
    <w:rsid w:val="00482D64"/>
    <w:rsid w:val="0048300A"/>
    <w:rsid w:val="00483908"/>
    <w:rsid w:val="00483975"/>
    <w:rsid w:val="00483FF8"/>
    <w:rsid w:val="00484273"/>
    <w:rsid w:val="00484664"/>
    <w:rsid w:val="0048500B"/>
    <w:rsid w:val="004874FF"/>
    <w:rsid w:val="00490F3C"/>
    <w:rsid w:val="0049199E"/>
    <w:rsid w:val="00492488"/>
    <w:rsid w:val="00493900"/>
    <w:rsid w:val="0049437B"/>
    <w:rsid w:val="00494CC2"/>
    <w:rsid w:val="00495268"/>
    <w:rsid w:val="00495C09"/>
    <w:rsid w:val="00497A05"/>
    <w:rsid w:val="00497E3F"/>
    <w:rsid w:val="004A03D6"/>
    <w:rsid w:val="004A35EC"/>
    <w:rsid w:val="004A5365"/>
    <w:rsid w:val="004A76B9"/>
    <w:rsid w:val="004B176C"/>
    <w:rsid w:val="004B1D81"/>
    <w:rsid w:val="004B58AA"/>
    <w:rsid w:val="004B797A"/>
    <w:rsid w:val="004C0DA0"/>
    <w:rsid w:val="004C0F2B"/>
    <w:rsid w:val="004C172C"/>
    <w:rsid w:val="004C307C"/>
    <w:rsid w:val="004C3861"/>
    <w:rsid w:val="004C4496"/>
    <w:rsid w:val="004C5A5D"/>
    <w:rsid w:val="004C5DF8"/>
    <w:rsid w:val="004C67DD"/>
    <w:rsid w:val="004D3F6B"/>
    <w:rsid w:val="004D4EA0"/>
    <w:rsid w:val="004D749D"/>
    <w:rsid w:val="004D7BF9"/>
    <w:rsid w:val="004D7ECF"/>
    <w:rsid w:val="004E0B27"/>
    <w:rsid w:val="004E16E8"/>
    <w:rsid w:val="004E173D"/>
    <w:rsid w:val="004E24E5"/>
    <w:rsid w:val="004E2D5B"/>
    <w:rsid w:val="004E3FA9"/>
    <w:rsid w:val="004E4150"/>
    <w:rsid w:val="004E5871"/>
    <w:rsid w:val="004F190F"/>
    <w:rsid w:val="004F1E80"/>
    <w:rsid w:val="004F3B05"/>
    <w:rsid w:val="004F4C18"/>
    <w:rsid w:val="004F6607"/>
    <w:rsid w:val="004F7034"/>
    <w:rsid w:val="00500F50"/>
    <w:rsid w:val="00502140"/>
    <w:rsid w:val="00503767"/>
    <w:rsid w:val="00503ED4"/>
    <w:rsid w:val="00510673"/>
    <w:rsid w:val="00514058"/>
    <w:rsid w:val="005142DE"/>
    <w:rsid w:val="005147ED"/>
    <w:rsid w:val="00514CF1"/>
    <w:rsid w:val="0051553A"/>
    <w:rsid w:val="00515F51"/>
    <w:rsid w:val="00516C5D"/>
    <w:rsid w:val="00520476"/>
    <w:rsid w:val="00520504"/>
    <w:rsid w:val="00520BA2"/>
    <w:rsid w:val="00521969"/>
    <w:rsid w:val="0052484B"/>
    <w:rsid w:val="00526E33"/>
    <w:rsid w:val="00527A70"/>
    <w:rsid w:val="00531C28"/>
    <w:rsid w:val="00536FFF"/>
    <w:rsid w:val="00537159"/>
    <w:rsid w:val="0053739A"/>
    <w:rsid w:val="00537687"/>
    <w:rsid w:val="00542039"/>
    <w:rsid w:val="00542C00"/>
    <w:rsid w:val="005439F8"/>
    <w:rsid w:val="005475BB"/>
    <w:rsid w:val="00553B13"/>
    <w:rsid w:val="00556ADB"/>
    <w:rsid w:val="00560912"/>
    <w:rsid w:val="00561B0B"/>
    <w:rsid w:val="005637A3"/>
    <w:rsid w:val="00564692"/>
    <w:rsid w:val="00566D4F"/>
    <w:rsid w:val="00566F2F"/>
    <w:rsid w:val="005719B8"/>
    <w:rsid w:val="00571CF5"/>
    <w:rsid w:val="005721BC"/>
    <w:rsid w:val="00572592"/>
    <w:rsid w:val="00575B41"/>
    <w:rsid w:val="005766C8"/>
    <w:rsid w:val="00577236"/>
    <w:rsid w:val="00577831"/>
    <w:rsid w:val="00580C03"/>
    <w:rsid w:val="00581F12"/>
    <w:rsid w:val="00582BB6"/>
    <w:rsid w:val="0058332B"/>
    <w:rsid w:val="005849A6"/>
    <w:rsid w:val="00584C81"/>
    <w:rsid w:val="00585BBD"/>
    <w:rsid w:val="00586977"/>
    <w:rsid w:val="00586BF9"/>
    <w:rsid w:val="00586C1E"/>
    <w:rsid w:val="00586FCF"/>
    <w:rsid w:val="00590C7A"/>
    <w:rsid w:val="00591FF3"/>
    <w:rsid w:val="005938F4"/>
    <w:rsid w:val="00593A1A"/>
    <w:rsid w:val="00597384"/>
    <w:rsid w:val="005A01A5"/>
    <w:rsid w:val="005A0C77"/>
    <w:rsid w:val="005A1B1C"/>
    <w:rsid w:val="005A28FF"/>
    <w:rsid w:val="005A2CD4"/>
    <w:rsid w:val="005A5E75"/>
    <w:rsid w:val="005A619C"/>
    <w:rsid w:val="005A667D"/>
    <w:rsid w:val="005A7EA9"/>
    <w:rsid w:val="005B284C"/>
    <w:rsid w:val="005B307F"/>
    <w:rsid w:val="005B3D57"/>
    <w:rsid w:val="005B5D7D"/>
    <w:rsid w:val="005B5E31"/>
    <w:rsid w:val="005B7171"/>
    <w:rsid w:val="005C31DD"/>
    <w:rsid w:val="005C434B"/>
    <w:rsid w:val="005D0A16"/>
    <w:rsid w:val="005D31A1"/>
    <w:rsid w:val="005D3234"/>
    <w:rsid w:val="005D4817"/>
    <w:rsid w:val="005D4AE4"/>
    <w:rsid w:val="005D52F5"/>
    <w:rsid w:val="005D71D0"/>
    <w:rsid w:val="005E0856"/>
    <w:rsid w:val="005E0EED"/>
    <w:rsid w:val="005E0F0A"/>
    <w:rsid w:val="005E2447"/>
    <w:rsid w:val="005E4A93"/>
    <w:rsid w:val="005E6E15"/>
    <w:rsid w:val="005F04C2"/>
    <w:rsid w:val="005F1859"/>
    <w:rsid w:val="005F1915"/>
    <w:rsid w:val="005F2E0E"/>
    <w:rsid w:val="005F39E5"/>
    <w:rsid w:val="005F46E1"/>
    <w:rsid w:val="005F568A"/>
    <w:rsid w:val="005F632F"/>
    <w:rsid w:val="005F6854"/>
    <w:rsid w:val="005F71FD"/>
    <w:rsid w:val="006004C3"/>
    <w:rsid w:val="006006A7"/>
    <w:rsid w:val="0060322B"/>
    <w:rsid w:val="006047F9"/>
    <w:rsid w:val="00605125"/>
    <w:rsid w:val="00605339"/>
    <w:rsid w:val="00605591"/>
    <w:rsid w:val="0061073E"/>
    <w:rsid w:val="00610B2A"/>
    <w:rsid w:val="00610BA2"/>
    <w:rsid w:val="0061109F"/>
    <w:rsid w:val="00611AF4"/>
    <w:rsid w:val="00612C8A"/>
    <w:rsid w:val="00613EB8"/>
    <w:rsid w:val="00614027"/>
    <w:rsid w:val="00614789"/>
    <w:rsid w:val="00616CB0"/>
    <w:rsid w:val="00620238"/>
    <w:rsid w:val="00620267"/>
    <w:rsid w:val="00620C28"/>
    <w:rsid w:val="006218BA"/>
    <w:rsid w:val="00621EF3"/>
    <w:rsid w:val="006238E6"/>
    <w:rsid w:val="00623C20"/>
    <w:rsid w:val="00626DA1"/>
    <w:rsid w:val="00633307"/>
    <w:rsid w:val="00634C2F"/>
    <w:rsid w:val="00634C65"/>
    <w:rsid w:val="00634D82"/>
    <w:rsid w:val="006365B8"/>
    <w:rsid w:val="0063735D"/>
    <w:rsid w:val="006409B7"/>
    <w:rsid w:val="00640D78"/>
    <w:rsid w:val="00640DB9"/>
    <w:rsid w:val="00642F3C"/>
    <w:rsid w:val="0064325F"/>
    <w:rsid w:val="006451A8"/>
    <w:rsid w:val="0064596C"/>
    <w:rsid w:val="00650641"/>
    <w:rsid w:val="00652AC3"/>
    <w:rsid w:val="00652AD5"/>
    <w:rsid w:val="00653262"/>
    <w:rsid w:val="0065383F"/>
    <w:rsid w:val="006538BF"/>
    <w:rsid w:val="00653B32"/>
    <w:rsid w:val="00655B52"/>
    <w:rsid w:val="00660C67"/>
    <w:rsid w:val="006611AE"/>
    <w:rsid w:val="00661A22"/>
    <w:rsid w:val="00662275"/>
    <w:rsid w:val="0066239F"/>
    <w:rsid w:val="00664931"/>
    <w:rsid w:val="006658D6"/>
    <w:rsid w:val="00665902"/>
    <w:rsid w:val="00667D53"/>
    <w:rsid w:val="00667EA9"/>
    <w:rsid w:val="00672977"/>
    <w:rsid w:val="00672AFC"/>
    <w:rsid w:val="00672B45"/>
    <w:rsid w:val="00672B57"/>
    <w:rsid w:val="00674189"/>
    <w:rsid w:val="0067573E"/>
    <w:rsid w:val="00676416"/>
    <w:rsid w:val="00676B12"/>
    <w:rsid w:val="00681AA7"/>
    <w:rsid w:val="00681F50"/>
    <w:rsid w:val="00683B5E"/>
    <w:rsid w:val="006862C2"/>
    <w:rsid w:val="006866C0"/>
    <w:rsid w:val="00687781"/>
    <w:rsid w:val="00687CAB"/>
    <w:rsid w:val="00690FDA"/>
    <w:rsid w:val="00691382"/>
    <w:rsid w:val="00695885"/>
    <w:rsid w:val="00696F77"/>
    <w:rsid w:val="00697123"/>
    <w:rsid w:val="006A328D"/>
    <w:rsid w:val="006A3576"/>
    <w:rsid w:val="006A3930"/>
    <w:rsid w:val="006A3B60"/>
    <w:rsid w:val="006A40A1"/>
    <w:rsid w:val="006A42EB"/>
    <w:rsid w:val="006A4442"/>
    <w:rsid w:val="006A63BF"/>
    <w:rsid w:val="006A6417"/>
    <w:rsid w:val="006A68E4"/>
    <w:rsid w:val="006A6DDA"/>
    <w:rsid w:val="006A7300"/>
    <w:rsid w:val="006B04FD"/>
    <w:rsid w:val="006B0C8D"/>
    <w:rsid w:val="006B2A74"/>
    <w:rsid w:val="006B3DCF"/>
    <w:rsid w:val="006B5216"/>
    <w:rsid w:val="006B5926"/>
    <w:rsid w:val="006B60E3"/>
    <w:rsid w:val="006B67F6"/>
    <w:rsid w:val="006B74BA"/>
    <w:rsid w:val="006B7660"/>
    <w:rsid w:val="006C079B"/>
    <w:rsid w:val="006C0982"/>
    <w:rsid w:val="006C0EC2"/>
    <w:rsid w:val="006C1BF0"/>
    <w:rsid w:val="006C36E9"/>
    <w:rsid w:val="006C5087"/>
    <w:rsid w:val="006D0EC3"/>
    <w:rsid w:val="006D23FB"/>
    <w:rsid w:val="006D2634"/>
    <w:rsid w:val="006D6CF8"/>
    <w:rsid w:val="006D7C63"/>
    <w:rsid w:val="006E0665"/>
    <w:rsid w:val="006E285C"/>
    <w:rsid w:val="006E4800"/>
    <w:rsid w:val="006E5315"/>
    <w:rsid w:val="006E6884"/>
    <w:rsid w:val="006F080E"/>
    <w:rsid w:val="006F16A3"/>
    <w:rsid w:val="006F3D82"/>
    <w:rsid w:val="006F4D80"/>
    <w:rsid w:val="006F5B07"/>
    <w:rsid w:val="006F5EE7"/>
    <w:rsid w:val="006F64F6"/>
    <w:rsid w:val="006F67FC"/>
    <w:rsid w:val="006F7F6E"/>
    <w:rsid w:val="00701060"/>
    <w:rsid w:val="0070181F"/>
    <w:rsid w:val="00701859"/>
    <w:rsid w:val="00702BB0"/>
    <w:rsid w:val="007066FB"/>
    <w:rsid w:val="00707F46"/>
    <w:rsid w:val="007105CC"/>
    <w:rsid w:val="00714A86"/>
    <w:rsid w:val="00714DBC"/>
    <w:rsid w:val="00714E5D"/>
    <w:rsid w:val="00717697"/>
    <w:rsid w:val="00717882"/>
    <w:rsid w:val="00721357"/>
    <w:rsid w:val="00721472"/>
    <w:rsid w:val="007221D5"/>
    <w:rsid w:val="00723979"/>
    <w:rsid w:val="00723C67"/>
    <w:rsid w:val="00724AFC"/>
    <w:rsid w:val="00724E4D"/>
    <w:rsid w:val="007263EE"/>
    <w:rsid w:val="00730725"/>
    <w:rsid w:val="00731FB5"/>
    <w:rsid w:val="00733469"/>
    <w:rsid w:val="007341F0"/>
    <w:rsid w:val="00737036"/>
    <w:rsid w:val="007371A4"/>
    <w:rsid w:val="007375EC"/>
    <w:rsid w:val="007400CA"/>
    <w:rsid w:val="007422D3"/>
    <w:rsid w:val="0074379A"/>
    <w:rsid w:val="0074531B"/>
    <w:rsid w:val="00745A17"/>
    <w:rsid w:val="007467A3"/>
    <w:rsid w:val="00746821"/>
    <w:rsid w:val="00747003"/>
    <w:rsid w:val="00751027"/>
    <w:rsid w:val="00752BD5"/>
    <w:rsid w:val="00753C21"/>
    <w:rsid w:val="00754023"/>
    <w:rsid w:val="00754458"/>
    <w:rsid w:val="00756DD5"/>
    <w:rsid w:val="00757DBD"/>
    <w:rsid w:val="0076204B"/>
    <w:rsid w:val="00762B7E"/>
    <w:rsid w:val="007637F7"/>
    <w:rsid w:val="007706D5"/>
    <w:rsid w:val="00770AC5"/>
    <w:rsid w:val="00773A50"/>
    <w:rsid w:val="00774A81"/>
    <w:rsid w:val="00774C3D"/>
    <w:rsid w:val="007757CB"/>
    <w:rsid w:val="00775C41"/>
    <w:rsid w:val="007779AB"/>
    <w:rsid w:val="00780223"/>
    <w:rsid w:val="00780510"/>
    <w:rsid w:val="0078156D"/>
    <w:rsid w:val="00781D59"/>
    <w:rsid w:val="00781F4F"/>
    <w:rsid w:val="007824AE"/>
    <w:rsid w:val="00782E75"/>
    <w:rsid w:val="0078338B"/>
    <w:rsid w:val="007833B6"/>
    <w:rsid w:val="0078480E"/>
    <w:rsid w:val="00786E2B"/>
    <w:rsid w:val="0079136F"/>
    <w:rsid w:val="007913D4"/>
    <w:rsid w:val="00792BE3"/>
    <w:rsid w:val="00793447"/>
    <w:rsid w:val="00793C3A"/>
    <w:rsid w:val="007944E3"/>
    <w:rsid w:val="00796094"/>
    <w:rsid w:val="00796216"/>
    <w:rsid w:val="007979FA"/>
    <w:rsid w:val="007A3F2A"/>
    <w:rsid w:val="007A4945"/>
    <w:rsid w:val="007A5069"/>
    <w:rsid w:val="007A591A"/>
    <w:rsid w:val="007A6498"/>
    <w:rsid w:val="007A735D"/>
    <w:rsid w:val="007B213C"/>
    <w:rsid w:val="007B234B"/>
    <w:rsid w:val="007B3F83"/>
    <w:rsid w:val="007B44CC"/>
    <w:rsid w:val="007B7A36"/>
    <w:rsid w:val="007B7C39"/>
    <w:rsid w:val="007C17D1"/>
    <w:rsid w:val="007C1879"/>
    <w:rsid w:val="007C3436"/>
    <w:rsid w:val="007C4291"/>
    <w:rsid w:val="007D1E7D"/>
    <w:rsid w:val="007D1FBE"/>
    <w:rsid w:val="007D23D9"/>
    <w:rsid w:val="007D2689"/>
    <w:rsid w:val="007D355C"/>
    <w:rsid w:val="007D476E"/>
    <w:rsid w:val="007E026F"/>
    <w:rsid w:val="007E107C"/>
    <w:rsid w:val="007E1683"/>
    <w:rsid w:val="007E19FF"/>
    <w:rsid w:val="007E2227"/>
    <w:rsid w:val="007E2F5B"/>
    <w:rsid w:val="007E311F"/>
    <w:rsid w:val="007E6906"/>
    <w:rsid w:val="007F12CD"/>
    <w:rsid w:val="007F55AB"/>
    <w:rsid w:val="007F6BA2"/>
    <w:rsid w:val="007F722B"/>
    <w:rsid w:val="0080158A"/>
    <w:rsid w:val="00801BE6"/>
    <w:rsid w:val="00802882"/>
    <w:rsid w:val="00804920"/>
    <w:rsid w:val="00805CC8"/>
    <w:rsid w:val="00805FCA"/>
    <w:rsid w:val="00807410"/>
    <w:rsid w:val="008136E8"/>
    <w:rsid w:val="00817EFC"/>
    <w:rsid w:val="0082017C"/>
    <w:rsid w:val="00820F41"/>
    <w:rsid w:val="008213D3"/>
    <w:rsid w:val="00821486"/>
    <w:rsid w:val="008252B8"/>
    <w:rsid w:val="008255B4"/>
    <w:rsid w:val="008257CC"/>
    <w:rsid w:val="0082627D"/>
    <w:rsid w:val="00830019"/>
    <w:rsid w:val="008310A2"/>
    <w:rsid w:val="00831213"/>
    <w:rsid w:val="00832187"/>
    <w:rsid w:val="008368BB"/>
    <w:rsid w:val="00837018"/>
    <w:rsid w:val="008403C6"/>
    <w:rsid w:val="008438C3"/>
    <w:rsid w:val="00844E23"/>
    <w:rsid w:val="008460E6"/>
    <w:rsid w:val="00850969"/>
    <w:rsid w:val="008523F5"/>
    <w:rsid w:val="0085265E"/>
    <w:rsid w:val="008527A8"/>
    <w:rsid w:val="00852813"/>
    <w:rsid w:val="00854C46"/>
    <w:rsid w:val="00855899"/>
    <w:rsid w:val="00857C0B"/>
    <w:rsid w:val="008602CA"/>
    <w:rsid w:val="008604E1"/>
    <w:rsid w:val="008608C3"/>
    <w:rsid w:val="00862624"/>
    <w:rsid w:val="00863786"/>
    <w:rsid w:val="008641EA"/>
    <w:rsid w:val="00864A2D"/>
    <w:rsid w:val="0086671E"/>
    <w:rsid w:val="0087532E"/>
    <w:rsid w:val="00876658"/>
    <w:rsid w:val="00881A30"/>
    <w:rsid w:val="0088516F"/>
    <w:rsid w:val="00885199"/>
    <w:rsid w:val="00886775"/>
    <w:rsid w:val="00886DE6"/>
    <w:rsid w:val="00887540"/>
    <w:rsid w:val="00891F97"/>
    <w:rsid w:val="00893457"/>
    <w:rsid w:val="00893856"/>
    <w:rsid w:val="008939F5"/>
    <w:rsid w:val="00893A18"/>
    <w:rsid w:val="00895C2A"/>
    <w:rsid w:val="00896ADC"/>
    <w:rsid w:val="008975A0"/>
    <w:rsid w:val="008A07F2"/>
    <w:rsid w:val="008A1DBF"/>
    <w:rsid w:val="008A1FFA"/>
    <w:rsid w:val="008A3847"/>
    <w:rsid w:val="008A4EC0"/>
    <w:rsid w:val="008A5902"/>
    <w:rsid w:val="008A5D98"/>
    <w:rsid w:val="008B028E"/>
    <w:rsid w:val="008B1339"/>
    <w:rsid w:val="008B637F"/>
    <w:rsid w:val="008B71C5"/>
    <w:rsid w:val="008B7A25"/>
    <w:rsid w:val="008C01B2"/>
    <w:rsid w:val="008C0772"/>
    <w:rsid w:val="008C2E66"/>
    <w:rsid w:val="008C5794"/>
    <w:rsid w:val="008C6CB2"/>
    <w:rsid w:val="008D183F"/>
    <w:rsid w:val="008D1937"/>
    <w:rsid w:val="008D1F18"/>
    <w:rsid w:val="008D28F1"/>
    <w:rsid w:val="008D421E"/>
    <w:rsid w:val="008D6CB6"/>
    <w:rsid w:val="008D7C8A"/>
    <w:rsid w:val="008E2654"/>
    <w:rsid w:val="008E2CD3"/>
    <w:rsid w:val="008E3957"/>
    <w:rsid w:val="008E4EF4"/>
    <w:rsid w:val="008E57FE"/>
    <w:rsid w:val="008E61A4"/>
    <w:rsid w:val="008E62A6"/>
    <w:rsid w:val="008E7AFA"/>
    <w:rsid w:val="008F0566"/>
    <w:rsid w:val="008F1F8A"/>
    <w:rsid w:val="008F2E1E"/>
    <w:rsid w:val="008F44BE"/>
    <w:rsid w:val="008F5CDD"/>
    <w:rsid w:val="00901367"/>
    <w:rsid w:val="009044F2"/>
    <w:rsid w:val="009054C5"/>
    <w:rsid w:val="009058F8"/>
    <w:rsid w:val="0091082F"/>
    <w:rsid w:val="00912875"/>
    <w:rsid w:val="009140F2"/>
    <w:rsid w:val="009151DC"/>
    <w:rsid w:val="009165F8"/>
    <w:rsid w:val="00917D1B"/>
    <w:rsid w:val="0092287A"/>
    <w:rsid w:val="00923602"/>
    <w:rsid w:val="00923E22"/>
    <w:rsid w:val="00923FF3"/>
    <w:rsid w:val="009249F5"/>
    <w:rsid w:val="00924CE4"/>
    <w:rsid w:val="00924F43"/>
    <w:rsid w:val="00927A77"/>
    <w:rsid w:val="00930BE7"/>
    <w:rsid w:val="00930EE2"/>
    <w:rsid w:val="00931062"/>
    <w:rsid w:val="00934BB1"/>
    <w:rsid w:val="00935D84"/>
    <w:rsid w:val="0094019D"/>
    <w:rsid w:val="00940460"/>
    <w:rsid w:val="00940D23"/>
    <w:rsid w:val="00941306"/>
    <w:rsid w:val="00941532"/>
    <w:rsid w:val="00941DDE"/>
    <w:rsid w:val="00943CE1"/>
    <w:rsid w:val="0094485C"/>
    <w:rsid w:val="00945219"/>
    <w:rsid w:val="00947F67"/>
    <w:rsid w:val="00952BF9"/>
    <w:rsid w:val="00960495"/>
    <w:rsid w:val="009609A6"/>
    <w:rsid w:val="0096150D"/>
    <w:rsid w:val="00961F50"/>
    <w:rsid w:val="00963606"/>
    <w:rsid w:val="0096472F"/>
    <w:rsid w:val="009656DD"/>
    <w:rsid w:val="009662E2"/>
    <w:rsid w:val="0097097D"/>
    <w:rsid w:val="009726DE"/>
    <w:rsid w:val="00972D2E"/>
    <w:rsid w:val="00973930"/>
    <w:rsid w:val="0097422E"/>
    <w:rsid w:val="00976707"/>
    <w:rsid w:val="00980786"/>
    <w:rsid w:val="00982552"/>
    <w:rsid w:val="00985B23"/>
    <w:rsid w:val="00990B6B"/>
    <w:rsid w:val="00992678"/>
    <w:rsid w:val="00993119"/>
    <w:rsid w:val="009934BC"/>
    <w:rsid w:val="00993A40"/>
    <w:rsid w:val="00997EE3"/>
    <w:rsid w:val="009A0570"/>
    <w:rsid w:val="009A3C4C"/>
    <w:rsid w:val="009A498E"/>
    <w:rsid w:val="009A7654"/>
    <w:rsid w:val="009B3D64"/>
    <w:rsid w:val="009B44A0"/>
    <w:rsid w:val="009B64D7"/>
    <w:rsid w:val="009C0901"/>
    <w:rsid w:val="009C2110"/>
    <w:rsid w:val="009C63CC"/>
    <w:rsid w:val="009C64DB"/>
    <w:rsid w:val="009D129C"/>
    <w:rsid w:val="009D26E7"/>
    <w:rsid w:val="009D6CC2"/>
    <w:rsid w:val="009D7836"/>
    <w:rsid w:val="009E0070"/>
    <w:rsid w:val="009E0140"/>
    <w:rsid w:val="009E1914"/>
    <w:rsid w:val="009E26D4"/>
    <w:rsid w:val="009E34E1"/>
    <w:rsid w:val="009E5160"/>
    <w:rsid w:val="009E63A6"/>
    <w:rsid w:val="009F07AC"/>
    <w:rsid w:val="009F2135"/>
    <w:rsid w:val="009F3B55"/>
    <w:rsid w:val="009F5A34"/>
    <w:rsid w:val="00A01A6C"/>
    <w:rsid w:val="00A025D3"/>
    <w:rsid w:val="00A02E04"/>
    <w:rsid w:val="00A0448C"/>
    <w:rsid w:val="00A044DF"/>
    <w:rsid w:val="00A0790A"/>
    <w:rsid w:val="00A1126D"/>
    <w:rsid w:val="00A11350"/>
    <w:rsid w:val="00A115D6"/>
    <w:rsid w:val="00A12FED"/>
    <w:rsid w:val="00A20578"/>
    <w:rsid w:val="00A22094"/>
    <w:rsid w:val="00A2237B"/>
    <w:rsid w:val="00A264C7"/>
    <w:rsid w:val="00A27759"/>
    <w:rsid w:val="00A309E7"/>
    <w:rsid w:val="00A314DC"/>
    <w:rsid w:val="00A324A0"/>
    <w:rsid w:val="00A33631"/>
    <w:rsid w:val="00A362DB"/>
    <w:rsid w:val="00A36E68"/>
    <w:rsid w:val="00A401F7"/>
    <w:rsid w:val="00A44260"/>
    <w:rsid w:val="00A45494"/>
    <w:rsid w:val="00A4624B"/>
    <w:rsid w:val="00A46B5D"/>
    <w:rsid w:val="00A508EE"/>
    <w:rsid w:val="00A516E5"/>
    <w:rsid w:val="00A517D2"/>
    <w:rsid w:val="00A534BE"/>
    <w:rsid w:val="00A53600"/>
    <w:rsid w:val="00A53852"/>
    <w:rsid w:val="00A55CFA"/>
    <w:rsid w:val="00A56A0F"/>
    <w:rsid w:val="00A64597"/>
    <w:rsid w:val="00A65151"/>
    <w:rsid w:val="00A711D6"/>
    <w:rsid w:val="00A72C03"/>
    <w:rsid w:val="00A74170"/>
    <w:rsid w:val="00A75626"/>
    <w:rsid w:val="00A76B94"/>
    <w:rsid w:val="00A774B4"/>
    <w:rsid w:val="00A77A9A"/>
    <w:rsid w:val="00A812C8"/>
    <w:rsid w:val="00A81FB7"/>
    <w:rsid w:val="00A8576F"/>
    <w:rsid w:val="00A927BA"/>
    <w:rsid w:val="00A92986"/>
    <w:rsid w:val="00A9314E"/>
    <w:rsid w:val="00A93889"/>
    <w:rsid w:val="00A93F80"/>
    <w:rsid w:val="00A968DF"/>
    <w:rsid w:val="00A97E76"/>
    <w:rsid w:val="00A97EF2"/>
    <w:rsid w:val="00AA0FCD"/>
    <w:rsid w:val="00AA2550"/>
    <w:rsid w:val="00AA2618"/>
    <w:rsid w:val="00AA5189"/>
    <w:rsid w:val="00AA51BF"/>
    <w:rsid w:val="00AA528B"/>
    <w:rsid w:val="00AB0CA4"/>
    <w:rsid w:val="00AB5624"/>
    <w:rsid w:val="00AB6D88"/>
    <w:rsid w:val="00AB6DFE"/>
    <w:rsid w:val="00AB72E7"/>
    <w:rsid w:val="00AC08BD"/>
    <w:rsid w:val="00AC3065"/>
    <w:rsid w:val="00AC4754"/>
    <w:rsid w:val="00AC5BEF"/>
    <w:rsid w:val="00AC70A7"/>
    <w:rsid w:val="00AD01E4"/>
    <w:rsid w:val="00AD1AD4"/>
    <w:rsid w:val="00AD25FB"/>
    <w:rsid w:val="00AD26C7"/>
    <w:rsid w:val="00AD32A5"/>
    <w:rsid w:val="00AD6C3B"/>
    <w:rsid w:val="00AD7184"/>
    <w:rsid w:val="00AE14AF"/>
    <w:rsid w:val="00AE683D"/>
    <w:rsid w:val="00AE72C2"/>
    <w:rsid w:val="00AF1B47"/>
    <w:rsid w:val="00AF1D99"/>
    <w:rsid w:val="00AF2D44"/>
    <w:rsid w:val="00AF4FC0"/>
    <w:rsid w:val="00AF5288"/>
    <w:rsid w:val="00AF5E31"/>
    <w:rsid w:val="00B0136A"/>
    <w:rsid w:val="00B035F8"/>
    <w:rsid w:val="00B03B61"/>
    <w:rsid w:val="00B03CCC"/>
    <w:rsid w:val="00B0704E"/>
    <w:rsid w:val="00B10195"/>
    <w:rsid w:val="00B10950"/>
    <w:rsid w:val="00B10DD9"/>
    <w:rsid w:val="00B12104"/>
    <w:rsid w:val="00B121FF"/>
    <w:rsid w:val="00B12405"/>
    <w:rsid w:val="00B13F95"/>
    <w:rsid w:val="00B1493B"/>
    <w:rsid w:val="00B1531F"/>
    <w:rsid w:val="00B15D82"/>
    <w:rsid w:val="00B20844"/>
    <w:rsid w:val="00B226C6"/>
    <w:rsid w:val="00B226E7"/>
    <w:rsid w:val="00B26CFF"/>
    <w:rsid w:val="00B27B82"/>
    <w:rsid w:val="00B27D62"/>
    <w:rsid w:val="00B30974"/>
    <w:rsid w:val="00B313D2"/>
    <w:rsid w:val="00B31B0E"/>
    <w:rsid w:val="00B3309C"/>
    <w:rsid w:val="00B35417"/>
    <w:rsid w:val="00B36AF7"/>
    <w:rsid w:val="00B40985"/>
    <w:rsid w:val="00B43577"/>
    <w:rsid w:val="00B43B37"/>
    <w:rsid w:val="00B43B64"/>
    <w:rsid w:val="00B4404C"/>
    <w:rsid w:val="00B44BC2"/>
    <w:rsid w:val="00B461F2"/>
    <w:rsid w:val="00B507E4"/>
    <w:rsid w:val="00B5113D"/>
    <w:rsid w:val="00B532A4"/>
    <w:rsid w:val="00B53433"/>
    <w:rsid w:val="00B554F0"/>
    <w:rsid w:val="00B56188"/>
    <w:rsid w:val="00B6083F"/>
    <w:rsid w:val="00B60C08"/>
    <w:rsid w:val="00B61E5A"/>
    <w:rsid w:val="00B63145"/>
    <w:rsid w:val="00B672AE"/>
    <w:rsid w:val="00B67431"/>
    <w:rsid w:val="00B7012E"/>
    <w:rsid w:val="00B71F3E"/>
    <w:rsid w:val="00B724DA"/>
    <w:rsid w:val="00B72512"/>
    <w:rsid w:val="00B731B3"/>
    <w:rsid w:val="00B73C1F"/>
    <w:rsid w:val="00B7638D"/>
    <w:rsid w:val="00B808A5"/>
    <w:rsid w:val="00B82B7E"/>
    <w:rsid w:val="00B83133"/>
    <w:rsid w:val="00B86A07"/>
    <w:rsid w:val="00B870EC"/>
    <w:rsid w:val="00B8783D"/>
    <w:rsid w:val="00B90244"/>
    <w:rsid w:val="00B9026C"/>
    <w:rsid w:val="00B902C4"/>
    <w:rsid w:val="00B90918"/>
    <w:rsid w:val="00B91ADD"/>
    <w:rsid w:val="00B94635"/>
    <w:rsid w:val="00B947AB"/>
    <w:rsid w:val="00B970FC"/>
    <w:rsid w:val="00B979ED"/>
    <w:rsid w:val="00BA1854"/>
    <w:rsid w:val="00BA2BDB"/>
    <w:rsid w:val="00BA46EC"/>
    <w:rsid w:val="00BA660A"/>
    <w:rsid w:val="00BB015F"/>
    <w:rsid w:val="00BB3500"/>
    <w:rsid w:val="00BB3D58"/>
    <w:rsid w:val="00BB7FEC"/>
    <w:rsid w:val="00BC4DD1"/>
    <w:rsid w:val="00BC6CEF"/>
    <w:rsid w:val="00BC75F0"/>
    <w:rsid w:val="00BD0189"/>
    <w:rsid w:val="00BD33B9"/>
    <w:rsid w:val="00BD5A0C"/>
    <w:rsid w:val="00BE0E9D"/>
    <w:rsid w:val="00BE1EB8"/>
    <w:rsid w:val="00BE29EF"/>
    <w:rsid w:val="00BE2FA4"/>
    <w:rsid w:val="00BE4B5E"/>
    <w:rsid w:val="00BE6DDF"/>
    <w:rsid w:val="00BE6E81"/>
    <w:rsid w:val="00BE7526"/>
    <w:rsid w:val="00BE759B"/>
    <w:rsid w:val="00BF0AE3"/>
    <w:rsid w:val="00BF0DAF"/>
    <w:rsid w:val="00BF5E0B"/>
    <w:rsid w:val="00BF6021"/>
    <w:rsid w:val="00C00468"/>
    <w:rsid w:val="00C0077F"/>
    <w:rsid w:val="00C014BA"/>
    <w:rsid w:val="00C01BD5"/>
    <w:rsid w:val="00C02ADE"/>
    <w:rsid w:val="00C043C0"/>
    <w:rsid w:val="00C05607"/>
    <w:rsid w:val="00C1117A"/>
    <w:rsid w:val="00C1188F"/>
    <w:rsid w:val="00C138DC"/>
    <w:rsid w:val="00C17770"/>
    <w:rsid w:val="00C177BA"/>
    <w:rsid w:val="00C207C7"/>
    <w:rsid w:val="00C21550"/>
    <w:rsid w:val="00C21D99"/>
    <w:rsid w:val="00C224C5"/>
    <w:rsid w:val="00C230FB"/>
    <w:rsid w:val="00C24184"/>
    <w:rsid w:val="00C25387"/>
    <w:rsid w:val="00C25467"/>
    <w:rsid w:val="00C30121"/>
    <w:rsid w:val="00C308DB"/>
    <w:rsid w:val="00C32F79"/>
    <w:rsid w:val="00C40913"/>
    <w:rsid w:val="00C41D32"/>
    <w:rsid w:val="00C43F51"/>
    <w:rsid w:val="00C4547F"/>
    <w:rsid w:val="00C466F1"/>
    <w:rsid w:val="00C50904"/>
    <w:rsid w:val="00C512BB"/>
    <w:rsid w:val="00C532AD"/>
    <w:rsid w:val="00C54085"/>
    <w:rsid w:val="00C54204"/>
    <w:rsid w:val="00C54ACE"/>
    <w:rsid w:val="00C54AFA"/>
    <w:rsid w:val="00C56C54"/>
    <w:rsid w:val="00C57B51"/>
    <w:rsid w:val="00C60A7A"/>
    <w:rsid w:val="00C6267E"/>
    <w:rsid w:val="00C630F8"/>
    <w:rsid w:val="00C63BE5"/>
    <w:rsid w:val="00C64354"/>
    <w:rsid w:val="00C66899"/>
    <w:rsid w:val="00C676CB"/>
    <w:rsid w:val="00C72679"/>
    <w:rsid w:val="00C7294D"/>
    <w:rsid w:val="00C7704C"/>
    <w:rsid w:val="00C819AC"/>
    <w:rsid w:val="00C8687F"/>
    <w:rsid w:val="00C8770F"/>
    <w:rsid w:val="00C94250"/>
    <w:rsid w:val="00C9510B"/>
    <w:rsid w:val="00C95D2E"/>
    <w:rsid w:val="00CA05F6"/>
    <w:rsid w:val="00CA1229"/>
    <w:rsid w:val="00CA62FD"/>
    <w:rsid w:val="00CA729C"/>
    <w:rsid w:val="00CB1D95"/>
    <w:rsid w:val="00CB26C4"/>
    <w:rsid w:val="00CB31F1"/>
    <w:rsid w:val="00CB3D9D"/>
    <w:rsid w:val="00CB43BB"/>
    <w:rsid w:val="00CB4E4C"/>
    <w:rsid w:val="00CB558C"/>
    <w:rsid w:val="00CB7066"/>
    <w:rsid w:val="00CB7D0E"/>
    <w:rsid w:val="00CC3031"/>
    <w:rsid w:val="00CC4AC4"/>
    <w:rsid w:val="00CC7000"/>
    <w:rsid w:val="00CC7100"/>
    <w:rsid w:val="00CD3657"/>
    <w:rsid w:val="00CD488B"/>
    <w:rsid w:val="00CD5034"/>
    <w:rsid w:val="00CD622A"/>
    <w:rsid w:val="00CD674E"/>
    <w:rsid w:val="00CE0480"/>
    <w:rsid w:val="00CE4D81"/>
    <w:rsid w:val="00CE5CC0"/>
    <w:rsid w:val="00CE61A8"/>
    <w:rsid w:val="00CF15D3"/>
    <w:rsid w:val="00CF2BE6"/>
    <w:rsid w:val="00CF2F9E"/>
    <w:rsid w:val="00CF313A"/>
    <w:rsid w:val="00CF588D"/>
    <w:rsid w:val="00CF6ADA"/>
    <w:rsid w:val="00D013E7"/>
    <w:rsid w:val="00D01E0E"/>
    <w:rsid w:val="00D0386A"/>
    <w:rsid w:val="00D04B8F"/>
    <w:rsid w:val="00D04BE1"/>
    <w:rsid w:val="00D05FCA"/>
    <w:rsid w:val="00D12047"/>
    <w:rsid w:val="00D1425D"/>
    <w:rsid w:val="00D150D2"/>
    <w:rsid w:val="00D20A2C"/>
    <w:rsid w:val="00D2153D"/>
    <w:rsid w:val="00D225B9"/>
    <w:rsid w:val="00D24C93"/>
    <w:rsid w:val="00D255AE"/>
    <w:rsid w:val="00D258DB"/>
    <w:rsid w:val="00D2640B"/>
    <w:rsid w:val="00D323FD"/>
    <w:rsid w:val="00D32FD0"/>
    <w:rsid w:val="00D3479C"/>
    <w:rsid w:val="00D35E7A"/>
    <w:rsid w:val="00D36A9C"/>
    <w:rsid w:val="00D37FE1"/>
    <w:rsid w:val="00D4012B"/>
    <w:rsid w:val="00D4128B"/>
    <w:rsid w:val="00D416EA"/>
    <w:rsid w:val="00D41900"/>
    <w:rsid w:val="00D44056"/>
    <w:rsid w:val="00D44E99"/>
    <w:rsid w:val="00D50155"/>
    <w:rsid w:val="00D5188E"/>
    <w:rsid w:val="00D54A7B"/>
    <w:rsid w:val="00D573CB"/>
    <w:rsid w:val="00D62F6D"/>
    <w:rsid w:val="00D62FD8"/>
    <w:rsid w:val="00D63405"/>
    <w:rsid w:val="00D63F77"/>
    <w:rsid w:val="00D64A86"/>
    <w:rsid w:val="00D66576"/>
    <w:rsid w:val="00D70E96"/>
    <w:rsid w:val="00D713B1"/>
    <w:rsid w:val="00D76F1D"/>
    <w:rsid w:val="00D77826"/>
    <w:rsid w:val="00D80177"/>
    <w:rsid w:val="00D84B33"/>
    <w:rsid w:val="00D84B4F"/>
    <w:rsid w:val="00D84D35"/>
    <w:rsid w:val="00D85E67"/>
    <w:rsid w:val="00D8614C"/>
    <w:rsid w:val="00D86B84"/>
    <w:rsid w:val="00D92311"/>
    <w:rsid w:val="00D958F3"/>
    <w:rsid w:val="00D96CB7"/>
    <w:rsid w:val="00D97A61"/>
    <w:rsid w:val="00DA1ACA"/>
    <w:rsid w:val="00DA38F6"/>
    <w:rsid w:val="00DA4CFE"/>
    <w:rsid w:val="00DA6413"/>
    <w:rsid w:val="00DA7645"/>
    <w:rsid w:val="00DB01CF"/>
    <w:rsid w:val="00DB2A34"/>
    <w:rsid w:val="00DB5118"/>
    <w:rsid w:val="00DB582C"/>
    <w:rsid w:val="00DB6462"/>
    <w:rsid w:val="00DB7585"/>
    <w:rsid w:val="00DC0087"/>
    <w:rsid w:val="00DC15F2"/>
    <w:rsid w:val="00DC23F3"/>
    <w:rsid w:val="00DC29B0"/>
    <w:rsid w:val="00DC4984"/>
    <w:rsid w:val="00DC568C"/>
    <w:rsid w:val="00DC728C"/>
    <w:rsid w:val="00DD0FF7"/>
    <w:rsid w:val="00DD3591"/>
    <w:rsid w:val="00DD6F05"/>
    <w:rsid w:val="00DE0105"/>
    <w:rsid w:val="00DE02A5"/>
    <w:rsid w:val="00DE21DC"/>
    <w:rsid w:val="00DE44E1"/>
    <w:rsid w:val="00DE5443"/>
    <w:rsid w:val="00DE6FEA"/>
    <w:rsid w:val="00DE73D8"/>
    <w:rsid w:val="00DE7B63"/>
    <w:rsid w:val="00DF14B3"/>
    <w:rsid w:val="00DF2B9E"/>
    <w:rsid w:val="00DF59F9"/>
    <w:rsid w:val="00DF5DCD"/>
    <w:rsid w:val="00E013B8"/>
    <w:rsid w:val="00E02FE5"/>
    <w:rsid w:val="00E036CA"/>
    <w:rsid w:val="00E045DC"/>
    <w:rsid w:val="00E04EDC"/>
    <w:rsid w:val="00E06EDA"/>
    <w:rsid w:val="00E11F01"/>
    <w:rsid w:val="00E12908"/>
    <w:rsid w:val="00E146F6"/>
    <w:rsid w:val="00E15100"/>
    <w:rsid w:val="00E161B2"/>
    <w:rsid w:val="00E17DB0"/>
    <w:rsid w:val="00E220CA"/>
    <w:rsid w:val="00E22B46"/>
    <w:rsid w:val="00E23297"/>
    <w:rsid w:val="00E23BA8"/>
    <w:rsid w:val="00E25AF4"/>
    <w:rsid w:val="00E25B0C"/>
    <w:rsid w:val="00E26BD3"/>
    <w:rsid w:val="00E27810"/>
    <w:rsid w:val="00E27AF4"/>
    <w:rsid w:val="00E33184"/>
    <w:rsid w:val="00E338DF"/>
    <w:rsid w:val="00E34386"/>
    <w:rsid w:val="00E34DF2"/>
    <w:rsid w:val="00E36291"/>
    <w:rsid w:val="00E37ACB"/>
    <w:rsid w:val="00E41689"/>
    <w:rsid w:val="00E41B82"/>
    <w:rsid w:val="00E420E1"/>
    <w:rsid w:val="00E4258F"/>
    <w:rsid w:val="00E461C2"/>
    <w:rsid w:val="00E46F21"/>
    <w:rsid w:val="00E50AF8"/>
    <w:rsid w:val="00E53563"/>
    <w:rsid w:val="00E54E08"/>
    <w:rsid w:val="00E54FB7"/>
    <w:rsid w:val="00E56215"/>
    <w:rsid w:val="00E56600"/>
    <w:rsid w:val="00E56C64"/>
    <w:rsid w:val="00E60D94"/>
    <w:rsid w:val="00E61148"/>
    <w:rsid w:val="00E6398B"/>
    <w:rsid w:val="00E64BE4"/>
    <w:rsid w:val="00E65F58"/>
    <w:rsid w:val="00E66111"/>
    <w:rsid w:val="00E7044F"/>
    <w:rsid w:val="00E7074A"/>
    <w:rsid w:val="00E710EA"/>
    <w:rsid w:val="00E71671"/>
    <w:rsid w:val="00E75784"/>
    <w:rsid w:val="00E75B5E"/>
    <w:rsid w:val="00E810D7"/>
    <w:rsid w:val="00E8412E"/>
    <w:rsid w:val="00E85349"/>
    <w:rsid w:val="00E868FB"/>
    <w:rsid w:val="00E92AA3"/>
    <w:rsid w:val="00E94597"/>
    <w:rsid w:val="00E97E36"/>
    <w:rsid w:val="00EA23DB"/>
    <w:rsid w:val="00EA7796"/>
    <w:rsid w:val="00EB2DB6"/>
    <w:rsid w:val="00EB4A54"/>
    <w:rsid w:val="00EC14A2"/>
    <w:rsid w:val="00EC4EA9"/>
    <w:rsid w:val="00EC4FB4"/>
    <w:rsid w:val="00EC5B6C"/>
    <w:rsid w:val="00EC7E61"/>
    <w:rsid w:val="00ED2296"/>
    <w:rsid w:val="00ED2F38"/>
    <w:rsid w:val="00ED3E46"/>
    <w:rsid w:val="00ED41E6"/>
    <w:rsid w:val="00ED4A8F"/>
    <w:rsid w:val="00ED4DF1"/>
    <w:rsid w:val="00ED60F1"/>
    <w:rsid w:val="00EE0B24"/>
    <w:rsid w:val="00EE0D44"/>
    <w:rsid w:val="00EE140D"/>
    <w:rsid w:val="00EE2B95"/>
    <w:rsid w:val="00EE3577"/>
    <w:rsid w:val="00EE3DE6"/>
    <w:rsid w:val="00EE54E5"/>
    <w:rsid w:val="00EE7245"/>
    <w:rsid w:val="00EE76BA"/>
    <w:rsid w:val="00EF123D"/>
    <w:rsid w:val="00EF3A3D"/>
    <w:rsid w:val="00EF6449"/>
    <w:rsid w:val="00EF65D2"/>
    <w:rsid w:val="00EF74DB"/>
    <w:rsid w:val="00EF753A"/>
    <w:rsid w:val="00EF7C0E"/>
    <w:rsid w:val="00F00CD6"/>
    <w:rsid w:val="00F014EE"/>
    <w:rsid w:val="00F014FF"/>
    <w:rsid w:val="00F019D7"/>
    <w:rsid w:val="00F01B0A"/>
    <w:rsid w:val="00F03CF5"/>
    <w:rsid w:val="00F05676"/>
    <w:rsid w:val="00F05B60"/>
    <w:rsid w:val="00F05CA1"/>
    <w:rsid w:val="00F11882"/>
    <w:rsid w:val="00F123D6"/>
    <w:rsid w:val="00F12660"/>
    <w:rsid w:val="00F13C56"/>
    <w:rsid w:val="00F15305"/>
    <w:rsid w:val="00F16D94"/>
    <w:rsid w:val="00F16FE8"/>
    <w:rsid w:val="00F208B7"/>
    <w:rsid w:val="00F220A8"/>
    <w:rsid w:val="00F226CD"/>
    <w:rsid w:val="00F25399"/>
    <w:rsid w:val="00F258B7"/>
    <w:rsid w:val="00F2654D"/>
    <w:rsid w:val="00F30975"/>
    <w:rsid w:val="00F31477"/>
    <w:rsid w:val="00F31A09"/>
    <w:rsid w:val="00F327D5"/>
    <w:rsid w:val="00F376C7"/>
    <w:rsid w:val="00F37A81"/>
    <w:rsid w:val="00F37B72"/>
    <w:rsid w:val="00F408EA"/>
    <w:rsid w:val="00F414A9"/>
    <w:rsid w:val="00F439C3"/>
    <w:rsid w:val="00F45E89"/>
    <w:rsid w:val="00F51B40"/>
    <w:rsid w:val="00F52003"/>
    <w:rsid w:val="00F5444C"/>
    <w:rsid w:val="00F55EC5"/>
    <w:rsid w:val="00F57091"/>
    <w:rsid w:val="00F57F5B"/>
    <w:rsid w:val="00F617B3"/>
    <w:rsid w:val="00F61B75"/>
    <w:rsid w:val="00F6525B"/>
    <w:rsid w:val="00F6528A"/>
    <w:rsid w:val="00F65F94"/>
    <w:rsid w:val="00F72241"/>
    <w:rsid w:val="00F75BC6"/>
    <w:rsid w:val="00F77D0B"/>
    <w:rsid w:val="00F80C0D"/>
    <w:rsid w:val="00F81235"/>
    <w:rsid w:val="00F85B0F"/>
    <w:rsid w:val="00F868D9"/>
    <w:rsid w:val="00F86949"/>
    <w:rsid w:val="00F8750D"/>
    <w:rsid w:val="00F9156F"/>
    <w:rsid w:val="00F918CC"/>
    <w:rsid w:val="00F92089"/>
    <w:rsid w:val="00F92B6A"/>
    <w:rsid w:val="00F93489"/>
    <w:rsid w:val="00F963BD"/>
    <w:rsid w:val="00F964FB"/>
    <w:rsid w:val="00F975F6"/>
    <w:rsid w:val="00FA0CED"/>
    <w:rsid w:val="00FA306E"/>
    <w:rsid w:val="00FA3C89"/>
    <w:rsid w:val="00FA43C0"/>
    <w:rsid w:val="00FB084E"/>
    <w:rsid w:val="00FB0B9D"/>
    <w:rsid w:val="00FB0D89"/>
    <w:rsid w:val="00FB13A3"/>
    <w:rsid w:val="00FB4212"/>
    <w:rsid w:val="00FB45A2"/>
    <w:rsid w:val="00FB51C1"/>
    <w:rsid w:val="00FB5D68"/>
    <w:rsid w:val="00FB5DC3"/>
    <w:rsid w:val="00FB60D1"/>
    <w:rsid w:val="00FB70CB"/>
    <w:rsid w:val="00FC22FB"/>
    <w:rsid w:val="00FC2390"/>
    <w:rsid w:val="00FC28F3"/>
    <w:rsid w:val="00FD19C4"/>
    <w:rsid w:val="00FD1FEC"/>
    <w:rsid w:val="00FD3843"/>
    <w:rsid w:val="00FD39C5"/>
    <w:rsid w:val="00FD4191"/>
    <w:rsid w:val="00FD4286"/>
    <w:rsid w:val="00FE053C"/>
    <w:rsid w:val="00FE40F4"/>
    <w:rsid w:val="00FE4CE6"/>
    <w:rsid w:val="00FE795F"/>
    <w:rsid w:val="00FF3082"/>
    <w:rsid w:val="00FF657B"/>
    <w:rsid w:val="00FF6C3D"/>
    <w:rsid w:val="00FF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BA13510"/>
  <w15:chartTrackingRefBased/>
  <w15:docId w15:val="{7C7A073E-BEFD-4EB2-91E7-888085F6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13A"/>
    <w:rPr>
      <w:color w:val="000000"/>
    </w:rPr>
  </w:style>
  <w:style w:type="paragraph" w:styleId="Heading1">
    <w:name w:val="heading 1"/>
    <w:basedOn w:val="Normal"/>
    <w:next w:val="Normal"/>
    <w:link w:val="Heading1Char"/>
    <w:uiPriority w:val="9"/>
    <w:qFormat/>
    <w:rsid w:val="00701859"/>
    <w:pPr>
      <w:keepNext/>
      <w:outlineLvl w:val="0"/>
    </w:pPr>
    <w:rPr>
      <w:rFonts w:eastAsia="Times New Roman" w:cs="Times New Roman"/>
      <w:b/>
      <w:color w:val="auto"/>
    </w:rPr>
  </w:style>
  <w:style w:type="paragraph" w:styleId="Heading2">
    <w:name w:val="heading 2"/>
    <w:basedOn w:val="Normal"/>
    <w:next w:val="Normal"/>
    <w:link w:val="Heading2Char"/>
    <w:uiPriority w:val="9"/>
    <w:qFormat/>
    <w:rsid w:val="00495268"/>
    <w:pPr>
      <w:keepNext/>
      <w:spacing w:before="240" w:after="60"/>
      <w:outlineLvl w:val="1"/>
    </w:pPr>
    <w:rPr>
      <w:rFonts w:eastAsia="Times New Roman"/>
      <w:b/>
      <w:bCs/>
      <w:iCs/>
      <w:color w:val="auto"/>
      <w:szCs w:val="28"/>
    </w:rPr>
  </w:style>
  <w:style w:type="paragraph" w:styleId="Heading3">
    <w:name w:val="heading 3"/>
    <w:basedOn w:val="Normal"/>
    <w:next w:val="Normal"/>
    <w:link w:val="Heading3Char"/>
    <w:qFormat/>
    <w:rsid w:val="000C421D"/>
    <w:pPr>
      <w:keepNext/>
      <w:spacing w:before="240" w:after="60"/>
      <w:outlineLvl w:val="2"/>
    </w:pPr>
    <w:rPr>
      <w:rFonts w:eastAsia="Times New Roman"/>
      <w:b/>
      <w:bCs/>
      <w:color w:val="auto"/>
      <w:szCs w:val="26"/>
    </w:rPr>
  </w:style>
  <w:style w:type="paragraph" w:styleId="Heading4">
    <w:name w:val="heading 4"/>
    <w:basedOn w:val="Normal"/>
    <w:next w:val="Normal"/>
    <w:link w:val="Heading4Char"/>
    <w:qFormat/>
    <w:rsid w:val="00495268"/>
    <w:pPr>
      <w:keepNext/>
      <w:ind w:right="-630"/>
      <w:outlineLvl w:val="3"/>
    </w:pPr>
    <w:rPr>
      <w:rFonts w:eastAsia="Times New Roman"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01859"/>
    <w:rPr>
      <w:rFonts w:eastAsia="Times New Roman" w:cs="Times New Roman"/>
      <w:b/>
    </w:rPr>
  </w:style>
  <w:style w:type="character" w:customStyle="1" w:styleId="Heading2Char">
    <w:name w:val="Heading 2 Char"/>
    <w:link w:val="Heading2"/>
    <w:uiPriority w:val="9"/>
    <w:rsid w:val="00495268"/>
    <w:rPr>
      <w:rFonts w:eastAsia="Times New Roman"/>
      <w:b/>
      <w:bCs/>
      <w:iCs/>
      <w:szCs w:val="28"/>
    </w:rPr>
  </w:style>
  <w:style w:type="character" w:customStyle="1" w:styleId="Heading3Char">
    <w:name w:val="Heading 3 Char"/>
    <w:link w:val="Heading3"/>
    <w:rsid w:val="000C421D"/>
    <w:rPr>
      <w:rFonts w:eastAsia="Times New Roman"/>
      <w:b/>
      <w:bCs/>
      <w:szCs w:val="26"/>
    </w:rPr>
  </w:style>
  <w:style w:type="character" w:customStyle="1" w:styleId="Heading4Char">
    <w:name w:val="Heading 4 Char"/>
    <w:link w:val="Heading4"/>
    <w:rsid w:val="00495268"/>
    <w:rPr>
      <w:rFonts w:eastAsia="Times New Roman" w:cs="Times New Roman"/>
    </w:rPr>
  </w:style>
  <w:style w:type="paragraph" w:styleId="FootnoteText">
    <w:name w:val="footnote text"/>
    <w:basedOn w:val="Normal"/>
    <w:link w:val="FootnoteTextChar"/>
    <w:uiPriority w:val="99"/>
    <w:unhideWhenUsed/>
    <w:rsid w:val="00BE759B"/>
  </w:style>
  <w:style w:type="character" w:customStyle="1" w:styleId="FootnoteTextChar">
    <w:name w:val="Footnote Text Char"/>
    <w:link w:val="FootnoteText"/>
    <w:uiPriority w:val="99"/>
    <w:rsid w:val="00BE759B"/>
    <w:rPr>
      <w:color w:val="000000"/>
    </w:rPr>
  </w:style>
  <w:style w:type="character" w:styleId="FootnoteReference">
    <w:name w:val="footnote reference"/>
    <w:uiPriority w:val="99"/>
    <w:rsid w:val="00BE759B"/>
    <w:rPr>
      <w:vertAlign w:val="superscript"/>
    </w:rPr>
  </w:style>
  <w:style w:type="paragraph" w:styleId="Header">
    <w:name w:val="header"/>
    <w:basedOn w:val="Normal"/>
    <w:link w:val="HeaderChar"/>
    <w:unhideWhenUsed/>
    <w:rsid w:val="008D1F18"/>
    <w:pPr>
      <w:tabs>
        <w:tab w:val="center" w:pos="4680"/>
        <w:tab w:val="right" w:pos="9360"/>
      </w:tabs>
    </w:pPr>
  </w:style>
  <w:style w:type="character" w:customStyle="1" w:styleId="HeaderChar">
    <w:name w:val="Header Char"/>
    <w:link w:val="Header"/>
    <w:uiPriority w:val="99"/>
    <w:rsid w:val="008D1F18"/>
    <w:rPr>
      <w:color w:val="000000"/>
    </w:rPr>
  </w:style>
  <w:style w:type="paragraph" w:styleId="Footer">
    <w:name w:val="footer"/>
    <w:basedOn w:val="Normal"/>
    <w:link w:val="FooterChar"/>
    <w:uiPriority w:val="99"/>
    <w:unhideWhenUsed/>
    <w:rsid w:val="008D1F18"/>
    <w:pPr>
      <w:tabs>
        <w:tab w:val="center" w:pos="4680"/>
        <w:tab w:val="right" w:pos="9360"/>
      </w:tabs>
    </w:pPr>
  </w:style>
  <w:style w:type="character" w:customStyle="1" w:styleId="FooterChar">
    <w:name w:val="Footer Char"/>
    <w:link w:val="Footer"/>
    <w:uiPriority w:val="99"/>
    <w:rsid w:val="008D1F18"/>
    <w:rPr>
      <w:color w:val="000000"/>
    </w:rPr>
  </w:style>
  <w:style w:type="paragraph" w:styleId="ListParagraph">
    <w:name w:val="List Paragraph"/>
    <w:basedOn w:val="Normal"/>
    <w:uiPriority w:val="34"/>
    <w:qFormat/>
    <w:rsid w:val="004C172C"/>
    <w:pPr>
      <w:ind w:left="720"/>
      <w:contextualSpacing/>
    </w:pPr>
  </w:style>
  <w:style w:type="paragraph" w:styleId="BodyTextIndent">
    <w:name w:val="Body Text Indent"/>
    <w:basedOn w:val="Normal"/>
    <w:link w:val="BodyTextIndentChar"/>
    <w:rsid w:val="002573F8"/>
    <w:pPr>
      <w:tabs>
        <w:tab w:val="left" w:pos="-720"/>
        <w:tab w:val="left" w:pos="0"/>
        <w:tab w:val="left" w:pos="720"/>
      </w:tabs>
      <w:suppressAutoHyphens/>
      <w:ind w:left="720"/>
    </w:pPr>
    <w:rPr>
      <w:rFonts w:eastAsia="Times New Roman" w:cs="Times New Roman"/>
      <w:color w:val="auto"/>
      <w:sz w:val="22"/>
    </w:rPr>
  </w:style>
  <w:style w:type="character" w:customStyle="1" w:styleId="BodyTextIndentChar">
    <w:name w:val="Body Text Indent Char"/>
    <w:basedOn w:val="DefaultParagraphFont"/>
    <w:link w:val="BodyTextIndent"/>
    <w:rsid w:val="002573F8"/>
    <w:rPr>
      <w:rFonts w:eastAsia="Times New Roman" w:cs="Times New Roman"/>
      <w:sz w:val="22"/>
    </w:rPr>
  </w:style>
  <w:style w:type="paragraph" w:styleId="BodyTextIndent2">
    <w:name w:val="Body Text Indent 2"/>
    <w:basedOn w:val="Normal"/>
    <w:link w:val="BodyTextIndent2Char"/>
    <w:rsid w:val="002573F8"/>
    <w:pPr>
      <w:tabs>
        <w:tab w:val="left" w:pos="-1440"/>
      </w:tabs>
      <w:ind w:left="1440" w:hanging="720"/>
    </w:pPr>
    <w:rPr>
      <w:rFonts w:eastAsia="Times New Roman" w:cs="Times New Roman"/>
      <w:color w:val="auto"/>
    </w:rPr>
  </w:style>
  <w:style w:type="character" w:customStyle="1" w:styleId="BodyTextIndent2Char">
    <w:name w:val="Body Text Indent 2 Char"/>
    <w:basedOn w:val="DefaultParagraphFont"/>
    <w:link w:val="BodyTextIndent2"/>
    <w:rsid w:val="002573F8"/>
    <w:rPr>
      <w:rFonts w:eastAsia="Times New Roman" w:cs="Times New Roman"/>
    </w:rPr>
  </w:style>
  <w:style w:type="paragraph" w:styleId="BodyTextIndent3">
    <w:name w:val="Body Text Indent 3"/>
    <w:basedOn w:val="Normal"/>
    <w:link w:val="BodyTextIndent3Char"/>
    <w:rsid w:val="002573F8"/>
    <w:pPr>
      <w:tabs>
        <w:tab w:val="left" w:pos="-1080"/>
        <w:tab w:val="left" w:pos="-720"/>
        <w:tab w:val="left" w:pos="0"/>
        <w:tab w:val="left" w:pos="720"/>
        <w:tab w:val="left" w:pos="1440"/>
        <w:tab w:val="left" w:pos="2160"/>
        <w:tab w:val="left" w:pos="2520"/>
        <w:tab w:val="left" w:pos="3600"/>
      </w:tabs>
      <w:ind w:left="2160" w:hanging="720"/>
    </w:pPr>
    <w:rPr>
      <w:rFonts w:eastAsia="Times New Roman" w:cs="Times New Roman"/>
      <w:color w:val="auto"/>
      <w:u w:val="single"/>
    </w:rPr>
  </w:style>
  <w:style w:type="character" w:customStyle="1" w:styleId="BodyTextIndent3Char">
    <w:name w:val="Body Text Indent 3 Char"/>
    <w:basedOn w:val="DefaultParagraphFont"/>
    <w:link w:val="BodyTextIndent3"/>
    <w:rsid w:val="002573F8"/>
    <w:rPr>
      <w:rFonts w:eastAsia="Times New Roman" w:cs="Times New Roman"/>
      <w:u w:val="single"/>
    </w:rPr>
  </w:style>
  <w:style w:type="paragraph" w:styleId="BalloonText">
    <w:name w:val="Balloon Text"/>
    <w:basedOn w:val="Normal"/>
    <w:link w:val="BalloonTextChar"/>
    <w:rsid w:val="002573F8"/>
    <w:rPr>
      <w:rFonts w:ascii="Segoe UI" w:eastAsia="Times New Roman" w:hAnsi="Segoe UI" w:cs="Segoe UI"/>
      <w:color w:val="auto"/>
      <w:sz w:val="18"/>
      <w:szCs w:val="18"/>
    </w:rPr>
  </w:style>
  <w:style w:type="character" w:customStyle="1" w:styleId="BalloonTextChar">
    <w:name w:val="Balloon Text Char"/>
    <w:basedOn w:val="DefaultParagraphFont"/>
    <w:link w:val="BalloonText"/>
    <w:uiPriority w:val="99"/>
    <w:rsid w:val="002573F8"/>
    <w:rPr>
      <w:rFonts w:ascii="Segoe UI" w:eastAsia="Times New Roman" w:hAnsi="Segoe UI" w:cs="Segoe UI"/>
      <w:sz w:val="18"/>
      <w:szCs w:val="18"/>
    </w:rPr>
  </w:style>
  <w:style w:type="paragraph" w:styleId="Revision">
    <w:name w:val="Revision"/>
    <w:hidden/>
    <w:uiPriority w:val="99"/>
    <w:semiHidden/>
    <w:rsid w:val="002573F8"/>
    <w:rPr>
      <w:rFonts w:eastAsia="Times New Roman" w:cs="Times New Roman"/>
    </w:rPr>
  </w:style>
  <w:style w:type="character" w:styleId="Hyperlink">
    <w:name w:val="Hyperlink"/>
    <w:basedOn w:val="DefaultParagraphFont"/>
    <w:uiPriority w:val="99"/>
    <w:unhideWhenUsed/>
    <w:rsid w:val="002573F8"/>
    <w:rPr>
      <w:color w:val="0000FF"/>
      <w:u w:val="single"/>
    </w:rPr>
  </w:style>
  <w:style w:type="paragraph" w:customStyle="1" w:styleId="Default">
    <w:name w:val="Default"/>
    <w:rsid w:val="002573F8"/>
    <w:pPr>
      <w:widowControl w:val="0"/>
      <w:autoSpaceDE w:val="0"/>
      <w:autoSpaceDN w:val="0"/>
      <w:adjustRightInd w:val="0"/>
    </w:pPr>
    <w:rPr>
      <w:rFonts w:ascii="JEJEIA+TimesNewRoman" w:eastAsia="Times New Roman" w:hAnsi="JEJEIA+TimesNewRoman" w:cs="JEJEIA+TimesNewRoman"/>
      <w:color w:val="000000"/>
      <w:sz w:val="24"/>
      <w:szCs w:val="24"/>
    </w:rPr>
  </w:style>
  <w:style w:type="character" w:customStyle="1" w:styleId="CommentTextChar">
    <w:name w:val="Comment Text Char"/>
    <w:basedOn w:val="DefaultParagraphFont"/>
    <w:link w:val="CommentText"/>
    <w:uiPriority w:val="99"/>
    <w:rsid w:val="00CD3657"/>
    <w:rPr>
      <w:rFonts w:eastAsia="Times New Roman" w:cs="Times New Roman"/>
    </w:rPr>
  </w:style>
  <w:style w:type="paragraph" w:styleId="CommentText">
    <w:name w:val="annotation text"/>
    <w:basedOn w:val="Normal"/>
    <w:link w:val="CommentTextChar"/>
    <w:uiPriority w:val="99"/>
    <w:unhideWhenUsed/>
    <w:rsid w:val="00CD3657"/>
    <w:rPr>
      <w:rFonts w:eastAsia="Times New Roman" w:cs="Times New Roman"/>
      <w:color w:val="auto"/>
    </w:rPr>
  </w:style>
  <w:style w:type="character" w:styleId="CommentReference">
    <w:name w:val="annotation reference"/>
    <w:basedOn w:val="DefaultParagraphFont"/>
    <w:uiPriority w:val="99"/>
    <w:rsid w:val="00BF6021"/>
    <w:rPr>
      <w:sz w:val="16"/>
      <w:szCs w:val="16"/>
    </w:rPr>
  </w:style>
  <w:style w:type="paragraph" w:styleId="CommentSubject">
    <w:name w:val="annotation subject"/>
    <w:basedOn w:val="CommentText"/>
    <w:next w:val="CommentText"/>
    <w:link w:val="CommentSubjectChar"/>
    <w:rsid w:val="00BF6021"/>
    <w:rPr>
      <w:b/>
      <w:bCs/>
    </w:rPr>
  </w:style>
  <w:style w:type="character" w:customStyle="1" w:styleId="CommentSubjectChar">
    <w:name w:val="Comment Subject Char"/>
    <w:basedOn w:val="CommentTextChar"/>
    <w:link w:val="CommentSubject"/>
    <w:rsid w:val="00BF6021"/>
    <w:rPr>
      <w:rFonts w:eastAsia="Times New Roman" w:cs="Times New Roman"/>
      <w:b/>
      <w:bCs/>
    </w:rPr>
  </w:style>
  <w:style w:type="character" w:styleId="FollowedHyperlink">
    <w:name w:val="FollowedHyperlink"/>
    <w:basedOn w:val="DefaultParagraphFont"/>
    <w:uiPriority w:val="99"/>
    <w:semiHidden/>
    <w:unhideWhenUsed/>
    <w:rsid w:val="00B672AE"/>
    <w:rPr>
      <w:color w:val="954F72" w:themeColor="followedHyperlink"/>
      <w:u w:val="single"/>
    </w:rPr>
  </w:style>
  <w:style w:type="table" w:styleId="TableGrid">
    <w:name w:val="Table Grid"/>
    <w:basedOn w:val="TableNormal"/>
    <w:uiPriority w:val="59"/>
    <w:rsid w:val="00DC15F2"/>
    <w:rPr>
      <w:rFonts w:eastAsiaTheme="minorHAns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05607"/>
    <w:pPr>
      <w:tabs>
        <w:tab w:val="left" w:pos="-720"/>
      </w:tabs>
    </w:pPr>
    <w:rPr>
      <w:rFonts w:eastAsia="Times New Roman" w:cs="Times New Roman"/>
      <w:color w:val="auto"/>
    </w:rPr>
  </w:style>
  <w:style w:type="character" w:customStyle="1" w:styleId="BodyTextChar">
    <w:name w:val="Body Text Char"/>
    <w:basedOn w:val="DefaultParagraphFont"/>
    <w:link w:val="BodyText"/>
    <w:rsid w:val="00C05607"/>
    <w:rPr>
      <w:rFonts w:eastAsia="Times New Roman" w:cs="Times New Roman"/>
    </w:rPr>
  </w:style>
  <w:style w:type="paragraph" w:styleId="HTMLPreformatted">
    <w:name w:val="HTML Preformatted"/>
    <w:basedOn w:val="Normal"/>
    <w:link w:val="HTMLPreformattedChar"/>
    <w:rsid w:val="00C05607"/>
    <w:rPr>
      <w:rFonts w:ascii="Courier New" w:eastAsia="Times New Roman" w:hAnsi="Courier New" w:cs="Courier New"/>
      <w:color w:val="auto"/>
    </w:rPr>
  </w:style>
  <w:style w:type="character" w:customStyle="1" w:styleId="HTMLPreformattedChar">
    <w:name w:val="HTML Preformatted Char"/>
    <w:basedOn w:val="DefaultParagraphFont"/>
    <w:link w:val="HTMLPreformatted"/>
    <w:rsid w:val="00C05607"/>
    <w:rPr>
      <w:rFonts w:ascii="Courier New" w:eastAsia="Times New Roman" w:hAnsi="Courier New" w:cs="Courier New"/>
    </w:rPr>
  </w:style>
  <w:style w:type="character" w:styleId="PageNumber">
    <w:name w:val="page number"/>
    <w:rsid w:val="00C05607"/>
  </w:style>
  <w:style w:type="paragraph" w:styleId="TOAHeading">
    <w:name w:val="toa heading"/>
    <w:basedOn w:val="Normal"/>
    <w:next w:val="Normal"/>
    <w:uiPriority w:val="99"/>
    <w:semiHidden/>
    <w:unhideWhenUsed/>
    <w:rsid w:val="00697123"/>
    <w:pPr>
      <w:spacing w:before="120"/>
    </w:pPr>
    <w:rPr>
      <w:rFonts w:asciiTheme="majorHAnsi" w:eastAsiaTheme="majorEastAsia" w:hAnsiTheme="majorHAnsi" w:cstheme="majorBidi"/>
      <w:b/>
      <w:bCs/>
      <w:sz w:val="24"/>
      <w:szCs w:val="24"/>
    </w:rPr>
  </w:style>
  <w:style w:type="numbering" w:customStyle="1" w:styleId="NumberPeriod">
    <w:name w:val="NumberPeriod"/>
    <w:uiPriority w:val="99"/>
    <w:rsid w:val="007A735D"/>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367">
      <w:bodyDiv w:val="1"/>
      <w:marLeft w:val="0"/>
      <w:marRight w:val="0"/>
      <w:marTop w:val="0"/>
      <w:marBottom w:val="0"/>
      <w:divBdr>
        <w:top w:val="none" w:sz="0" w:space="0" w:color="auto"/>
        <w:left w:val="none" w:sz="0" w:space="0" w:color="auto"/>
        <w:bottom w:val="none" w:sz="0" w:space="0" w:color="auto"/>
        <w:right w:val="none" w:sz="0" w:space="0" w:color="auto"/>
      </w:divBdr>
    </w:div>
    <w:div w:id="18702891">
      <w:bodyDiv w:val="1"/>
      <w:marLeft w:val="0"/>
      <w:marRight w:val="0"/>
      <w:marTop w:val="0"/>
      <w:marBottom w:val="0"/>
      <w:divBdr>
        <w:top w:val="none" w:sz="0" w:space="0" w:color="auto"/>
        <w:left w:val="none" w:sz="0" w:space="0" w:color="auto"/>
        <w:bottom w:val="none" w:sz="0" w:space="0" w:color="auto"/>
        <w:right w:val="none" w:sz="0" w:space="0" w:color="auto"/>
      </w:divBdr>
    </w:div>
    <w:div w:id="1576235789">
      <w:bodyDiv w:val="1"/>
      <w:marLeft w:val="0"/>
      <w:marRight w:val="0"/>
      <w:marTop w:val="0"/>
      <w:marBottom w:val="0"/>
      <w:divBdr>
        <w:top w:val="none" w:sz="0" w:space="0" w:color="auto"/>
        <w:left w:val="none" w:sz="0" w:space="0" w:color="auto"/>
        <w:bottom w:val="none" w:sz="0" w:space="0" w:color="auto"/>
        <w:right w:val="none" w:sz="0" w:space="0" w:color="auto"/>
      </w:divBdr>
    </w:div>
    <w:div w:id="179378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A206FBCC660045A30B35E8FCABC4C1" ma:contentTypeVersion="0" ma:contentTypeDescription="Create a new document." ma:contentTypeScope="" ma:versionID="66124b25b3ca6838e3d031751735f2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6BD0-2D34-41C4-B331-7744B19C4B2E}">
  <ds:schemaRefs>
    <ds:schemaRef ds:uri="http://schemas.microsoft.com/sharepoint/v3/contenttype/forms"/>
  </ds:schemaRefs>
</ds:datastoreItem>
</file>

<file path=customXml/itemProps2.xml><?xml version="1.0" encoding="utf-8"?>
<ds:datastoreItem xmlns:ds="http://schemas.openxmlformats.org/officeDocument/2006/customXml" ds:itemID="{1AA2F40A-36EC-4A06-B4CE-71EA1EEC3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C509CA2-AB83-4BE5-B001-9B57D4E07D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94B621-7114-4B2E-B025-AB706A3AE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3</Pages>
  <Words>918</Words>
  <Characters>5238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Rule 805</vt:lpstr>
    </vt:vector>
  </TitlesOfParts>
  <Company>sbcapcd</Company>
  <LinksUpToDate>false</LinksUpToDate>
  <CharactersWithSpaces>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805</dc:title>
  <dc:subject/>
  <dc:creator>Michael Goldman - SBCAPCD</dc:creator>
  <cp:keywords/>
  <dc:description/>
  <cp:lastModifiedBy>Timothy J. Mitro</cp:lastModifiedBy>
  <cp:revision>34</cp:revision>
  <cp:lastPrinted>2015-01-07T21:27:00Z</cp:lastPrinted>
  <dcterms:created xsi:type="dcterms:W3CDTF">2015-01-07T20:56:00Z</dcterms:created>
  <dcterms:modified xsi:type="dcterms:W3CDTF">2016-07-18T17:46:00Z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0x01010045A206FBCC660045A30B35E8FCABC4C1</vt:lpwstr>
  </property>
</Properties>
</file>