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E1F20" w14:textId="5766B286" w:rsidR="0016292F" w:rsidRDefault="0016292F">
      <w:pPr>
        <w:tabs>
          <w:tab w:val="left" w:pos="-720"/>
          <w:tab w:val="left" w:pos="0"/>
          <w:tab w:val="left" w:pos="720"/>
        </w:tabs>
        <w:suppressAutoHyphens/>
        <w:ind w:left="1440" w:hanging="1440"/>
        <w:rPr>
          <w:rFonts w:ascii="Times New Roman" w:hAnsi="Times New Roman"/>
          <w:b/>
          <w:sz w:val="20"/>
        </w:rPr>
      </w:pPr>
      <w:r>
        <w:rPr>
          <w:rFonts w:ascii="Times New Roman" w:hAnsi="Times New Roman"/>
          <w:b/>
          <w:sz w:val="20"/>
        </w:rPr>
        <w:t>RULE 203.</w:t>
      </w:r>
      <w:r>
        <w:rPr>
          <w:rFonts w:ascii="Times New Roman" w:hAnsi="Times New Roman"/>
          <w:b/>
          <w:sz w:val="20"/>
        </w:rPr>
        <w:tab/>
        <w:t>TRANSFER</w:t>
      </w:r>
      <w:r w:rsidR="005D696F">
        <w:rPr>
          <w:rFonts w:ascii="Times New Roman" w:hAnsi="Times New Roman"/>
          <w:b/>
          <w:sz w:val="20"/>
        </w:rPr>
        <w:br/>
      </w:r>
      <w:r w:rsidRPr="005D696F">
        <w:rPr>
          <w:rFonts w:ascii="Times New Roman" w:hAnsi="Times New Roman"/>
          <w:bCs/>
          <w:sz w:val="20"/>
        </w:rPr>
        <w:t>(Adopted 10/18/1971, revised 5/1/1972, readopted 10/23/1978, revised 4/17/1997</w:t>
      </w:r>
      <w:r w:rsidR="005D696F">
        <w:rPr>
          <w:rFonts w:ascii="Times New Roman" w:hAnsi="Times New Roman"/>
          <w:bCs/>
          <w:sz w:val="20"/>
        </w:rPr>
        <w:t xml:space="preserve">, </w:t>
      </w:r>
      <w:r w:rsidR="0047082E">
        <w:rPr>
          <w:rFonts w:ascii="Times New Roman" w:hAnsi="Times New Roman"/>
          <w:bCs/>
          <w:sz w:val="20"/>
        </w:rPr>
        <w:t>5/16/2024</w:t>
      </w:r>
      <w:r w:rsidRPr="005D696F">
        <w:rPr>
          <w:rFonts w:ascii="Times New Roman" w:hAnsi="Times New Roman"/>
          <w:bCs/>
          <w:sz w:val="20"/>
        </w:rPr>
        <w:t>)</w:t>
      </w:r>
    </w:p>
    <w:p w14:paraId="131D0CCF" w14:textId="77777777" w:rsidR="0016292F" w:rsidRDefault="0016292F">
      <w:pPr>
        <w:tabs>
          <w:tab w:val="left" w:pos="-720"/>
        </w:tabs>
        <w:suppressAutoHyphens/>
        <w:rPr>
          <w:rFonts w:ascii="Times New Roman" w:hAnsi="Times New Roman"/>
          <w:sz w:val="20"/>
        </w:rPr>
      </w:pPr>
    </w:p>
    <w:p w14:paraId="768C7FDD" w14:textId="77777777" w:rsidR="00AD2953" w:rsidRDefault="00AD2953">
      <w:pPr>
        <w:tabs>
          <w:tab w:val="left" w:pos="-720"/>
        </w:tabs>
        <w:suppressAutoHyphens/>
        <w:rPr>
          <w:rFonts w:ascii="Times New Roman" w:hAnsi="Times New Roman"/>
          <w:sz w:val="20"/>
        </w:rPr>
      </w:pPr>
    </w:p>
    <w:p w14:paraId="5C81102E" w14:textId="77777777" w:rsidR="0016292F" w:rsidRDefault="0016292F">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A.</w:t>
      </w:r>
      <w:r>
        <w:rPr>
          <w:rFonts w:ascii="Times New Roman" w:hAnsi="Times New Roman"/>
          <w:b/>
          <w:sz w:val="20"/>
        </w:rPr>
        <w:tab/>
        <w:t>Applicability</w:t>
      </w:r>
    </w:p>
    <w:p w14:paraId="5E568A47" w14:textId="77777777" w:rsidR="0016292F" w:rsidRDefault="0016292F">
      <w:pPr>
        <w:tabs>
          <w:tab w:val="left" w:pos="-720"/>
        </w:tabs>
        <w:suppressAutoHyphens/>
        <w:rPr>
          <w:rFonts w:ascii="Times New Roman" w:hAnsi="Times New Roman"/>
          <w:sz w:val="20"/>
          <w:u w:val="single"/>
        </w:rPr>
      </w:pPr>
    </w:p>
    <w:p w14:paraId="3903B044" w14:textId="5AE1365C" w:rsidR="0016292F" w:rsidRDefault="0016292F">
      <w:pPr>
        <w:tabs>
          <w:tab w:val="left" w:pos="-720"/>
        </w:tabs>
        <w:suppressAutoHyphens/>
        <w:ind w:left="720" w:hanging="720"/>
        <w:rPr>
          <w:rFonts w:ascii="Times New Roman" w:hAnsi="Times New Roman"/>
          <w:sz w:val="20"/>
          <w:u w:val="single"/>
        </w:rPr>
      </w:pPr>
      <w:r>
        <w:rPr>
          <w:rFonts w:ascii="Times New Roman" w:hAnsi="Times New Roman"/>
          <w:sz w:val="20"/>
        </w:rPr>
        <w:tab/>
        <w:t xml:space="preserve">This </w:t>
      </w:r>
      <w:r w:rsidR="005D696F">
        <w:rPr>
          <w:rFonts w:ascii="Times New Roman" w:hAnsi="Times New Roman"/>
          <w:sz w:val="20"/>
        </w:rPr>
        <w:t>r</w:t>
      </w:r>
      <w:r>
        <w:rPr>
          <w:rFonts w:ascii="Times New Roman" w:hAnsi="Times New Roman"/>
          <w:sz w:val="20"/>
        </w:rPr>
        <w:t>ule shall apply to any person transferring operation or ownership of permitted equipment.</w:t>
      </w:r>
    </w:p>
    <w:p w14:paraId="5D8DFED0" w14:textId="77777777" w:rsidR="0016292F" w:rsidRDefault="0016292F">
      <w:pPr>
        <w:tabs>
          <w:tab w:val="left" w:pos="-720"/>
        </w:tabs>
        <w:suppressAutoHyphens/>
        <w:rPr>
          <w:rFonts w:ascii="Times New Roman" w:hAnsi="Times New Roman"/>
          <w:sz w:val="20"/>
          <w:u w:val="single"/>
        </w:rPr>
      </w:pPr>
    </w:p>
    <w:p w14:paraId="2B7550CC" w14:textId="77777777" w:rsidR="0016292F" w:rsidRDefault="0016292F">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B.</w:t>
      </w:r>
      <w:r>
        <w:rPr>
          <w:rFonts w:ascii="Times New Roman" w:hAnsi="Times New Roman"/>
          <w:b/>
          <w:sz w:val="20"/>
        </w:rPr>
        <w:tab/>
        <w:t>Exemptions</w:t>
      </w:r>
    </w:p>
    <w:p w14:paraId="4EA976C7" w14:textId="77777777" w:rsidR="0016292F" w:rsidRDefault="0016292F">
      <w:pPr>
        <w:tabs>
          <w:tab w:val="left" w:pos="-720"/>
        </w:tabs>
        <w:suppressAutoHyphens/>
        <w:rPr>
          <w:rFonts w:ascii="Times New Roman" w:hAnsi="Times New Roman"/>
          <w:sz w:val="20"/>
          <w:u w:val="single"/>
        </w:rPr>
      </w:pPr>
    </w:p>
    <w:p w14:paraId="563E93DF" w14:textId="77777777" w:rsidR="0016292F" w:rsidRDefault="0016292F">
      <w:pPr>
        <w:tabs>
          <w:tab w:val="left" w:pos="-720"/>
          <w:tab w:val="left" w:pos="0"/>
        </w:tabs>
        <w:suppressAutoHyphens/>
        <w:ind w:left="720" w:hanging="720"/>
        <w:rPr>
          <w:rFonts w:ascii="Times New Roman" w:hAnsi="Times New Roman"/>
          <w:sz w:val="20"/>
        </w:rPr>
      </w:pPr>
      <w:r>
        <w:rPr>
          <w:rFonts w:ascii="Times New Roman" w:hAnsi="Times New Roman"/>
          <w:sz w:val="20"/>
        </w:rPr>
        <w:tab/>
        <w:t>None.</w:t>
      </w:r>
    </w:p>
    <w:p w14:paraId="39BBBB36" w14:textId="77777777" w:rsidR="0016292F" w:rsidRDefault="0016292F">
      <w:pPr>
        <w:tabs>
          <w:tab w:val="left" w:pos="-720"/>
        </w:tabs>
        <w:suppressAutoHyphens/>
        <w:rPr>
          <w:rFonts w:ascii="Times New Roman" w:hAnsi="Times New Roman"/>
          <w:sz w:val="20"/>
          <w:u w:val="single"/>
        </w:rPr>
      </w:pPr>
    </w:p>
    <w:p w14:paraId="7209E15A" w14:textId="77777777" w:rsidR="0016292F" w:rsidRDefault="0016292F">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C.</w:t>
      </w:r>
      <w:r>
        <w:rPr>
          <w:rFonts w:ascii="Times New Roman" w:hAnsi="Times New Roman"/>
          <w:b/>
          <w:sz w:val="20"/>
        </w:rPr>
        <w:tab/>
        <w:t>Definitions</w:t>
      </w:r>
    </w:p>
    <w:p w14:paraId="001738A1" w14:textId="77777777" w:rsidR="0016292F" w:rsidRDefault="0016292F">
      <w:pPr>
        <w:tabs>
          <w:tab w:val="left" w:pos="-720"/>
        </w:tabs>
        <w:suppressAutoHyphens/>
        <w:rPr>
          <w:rFonts w:ascii="Times New Roman" w:hAnsi="Times New Roman"/>
          <w:sz w:val="20"/>
          <w:u w:val="single"/>
        </w:rPr>
      </w:pPr>
    </w:p>
    <w:p w14:paraId="15E42094" w14:textId="40B593A4" w:rsidR="0016292F" w:rsidRDefault="0016292F">
      <w:pPr>
        <w:tabs>
          <w:tab w:val="left" w:pos="-720"/>
          <w:tab w:val="left" w:pos="0"/>
        </w:tabs>
        <w:suppressAutoHyphens/>
        <w:ind w:left="720" w:hanging="720"/>
        <w:rPr>
          <w:rFonts w:ascii="Times New Roman" w:hAnsi="Times New Roman"/>
          <w:sz w:val="20"/>
        </w:rPr>
      </w:pPr>
      <w:r>
        <w:rPr>
          <w:rFonts w:ascii="Times New Roman" w:hAnsi="Times New Roman"/>
          <w:sz w:val="20"/>
        </w:rPr>
        <w:tab/>
        <w:t>See Rule 102</w:t>
      </w:r>
      <w:r w:rsidR="00CC4CD3">
        <w:rPr>
          <w:rFonts w:ascii="Times New Roman" w:hAnsi="Times New Roman"/>
          <w:sz w:val="20"/>
        </w:rPr>
        <w:t>, Definitions,</w:t>
      </w:r>
      <w:r>
        <w:rPr>
          <w:rFonts w:ascii="Times New Roman" w:hAnsi="Times New Roman"/>
          <w:sz w:val="20"/>
        </w:rPr>
        <w:t xml:space="preserve"> for definitions.</w:t>
      </w:r>
    </w:p>
    <w:p w14:paraId="6BC2880F" w14:textId="77777777" w:rsidR="0016292F" w:rsidRDefault="0016292F">
      <w:pPr>
        <w:tabs>
          <w:tab w:val="left" w:pos="-720"/>
        </w:tabs>
        <w:suppressAutoHyphens/>
        <w:rPr>
          <w:rFonts w:ascii="Times New Roman" w:hAnsi="Times New Roman"/>
          <w:sz w:val="20"/>
          <w:u w:val="single"/>
        </w:rPr>
      </w:pPr>
    </w:p>
    <w:p w14:paraId="20EA9B16" w14:textId="77777777" w:rsidR="0016292F" w:rsidRDefault="0016292F">
      <w:pPr>
        <w:tabs>
          <w:tab w:val="left" w:pos="-720"/>
          <w:tab w:val="left" w:pos="0"/>
        </w:tabs>
        <w:suppressAutoHyphens/>
        <w:ind w:left="720" w:hanging="720"/>
        <w:rPr>
          <w:rFonts w:ascii="Times New Roman" w:hAnsi="Times New Roman"/>
          <w:b/>
          <w:sz w:val="20"/>
          <w:u w:val="single"/>
        </w:rPr>
      </w:pPr>
      <w:r>
        <w:rPr>
          <w:rFonts w:ascii="Times New Roman" w:hAnsi="Times New Roman"/>
          <w:b/>
          <w:sz w:val="20"/>
        </w:rPr>
        <w:t>D.</w:t>
      </w:r>
      <w:r>
        <w:rPr>
          <w:rFonts w:ascii="Times New Roman" w:hAnsi="Times New Roman"/>
          <w:b/>
          <w:sz w:val="20"/>
        </w:rPr>
        <w:tab/>
        <w:t>Requirements</w:t>
      </w:r>
    </w:p>
    <w:p w14:paraId="634C512A" w14:textId="77777777" w:rsidR="0016292F" w:rsidRDefault="0016292F">
      <w:pPr>
        <w:tabs>
          <w:tab w:val="left" w:pos="-720"/>
        </w:tabs>
        <w:suppressAutoHyphens/>
        <w:rPr>
          <w:rFonts w:ascii="Times New Roman" w:hAnsi="Times New Roman"/>
          <w:sz w:val="20"/>
          <w:u w:val="single"/>
        </w:rPr>
      </w:pPr>
    </w:p>
    <w:p w14:paraId="01D29E9D" w14:textId="77777777" w:rsidR="0016292F" w:rsidRDefault="0016292F">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t>1.</w:t>
      </w:r>
      <w:r>
        <w:rPr>
          <w:rFonts w:ascii="Times New Roman" w:hAnsi="Times New Roman"/>
          <w:sz w:val="20"/>
        </w:rPr>
        <w:tab/>
        <w:t>Transfer of Permits</w:t>
      </w:r>
    </w:p>
    <w:p w14:paraId="081BA529" w14:textId="77777777" w:rsidR="0016292F" w:rsidRDefault="0016292F">
      <w:pPr>
        <w:tabs>
          <w:tab w:val="left" w:pos="-720"/>
        </w:tabs>
        <w:suppressAutoHyphens/>
        <w:rPr>
          <w:rFonts w:ascii="Times New Roman" w:hAnsi="Times New Roman"/>
          <w:sz w:val="20"/>
        </w:rPr>
      </w:pPr>
    </w:p>
    <w:p w14:paraId="279BCB3F" w14:textId="77777777" w:rsidR="0016292F" w:rsidRDefault="0016292F">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t>An Authority to Construct or Permit to Operate shall not be transferable, whether by operation of law or otherwise, either from one location to another, or from one piece of equipment to another, except for those items specifically noted on the permit as being portable and/or relocatable.</w:t>
      </w:r>
    </w:p>
    <w:p w14:paraId="1ED106F2" w14:textId="77777777" w:rsidR="0016292F" w:rsidRDefault="0016292F">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r>
    </w:p>
    <w:p w14:paraId="54043F0D" w14:textId="3244CE39" w:rsidR="0016292F" w:rsidRDefault="0016292F">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t>Any application to transfer a permit from one permit holder to another shall be accompanied by a filing fee as specified in Rule 210</w:t>
      </w:r>
      <w:r w:rsidR="007E4E1E">
        <w:rPr>
          <w:rFonts w:ascii="Times New Roman" w:hAnsi="Times New Roman"/>
          <w:sz w:val="20"/>
        </w:rPr>
        <w:t>, Fees</w:t>
      </w:r>
      <w:r>
        <w:rPr>
          <w:rFonts w:ascii="Times New Roman" w:hAnsi="Times New Roman"/>
          <w:sz w:val="20"/>
        </w:rPr>
        <w:t xml:space="preserve">. A change in business name only is not a transfer and shall not be </w:t>
      </w:r>
      <w:proofErr w:type="gramStart"/>
      <w:r>
        <w:rPr>
          <w:rFonts w:ascii="Times New Roman" w:hAnsi="Times New Roman"/>
          <w:sz w:val="20"/>
        </w:rPr>
        <w:t>assessed</w:t>
      </w:r>
      <w:proofErr w:type="gramEnd"/>
      <w:r>
        <w:rPr>
          <w:rFonts w:ascii="Times New Roman" w:hAnsi="Times New Roman"/>
          <w:sz w:val="20"/>
        </w:rPr>
        <w:t xml:space="preserve"> a fee.</w:t>
      </w:r>
      <w:r w:rsidR="00AA1F4E">
        <w:rPr>
          <w:rFonts w:ascii="Times New Roman" w:hAnsi="Times New Roman"/>
          <w:sz w:val="20"/>
        </w:rPr>
        <w:t xml:space="preserve"> </w:t>
      </w:r>
      <w:r w:rsidR="00AA1F4E" w:rsidRPr="00AA1F4E">
        <w:rPr>
          <w:rFonts w:ascii="Times New Roman" w:hAnsi="Times New Roman"/>
          <w:sz w:val="20"/>
        </w:rPr>
        <w:t>Transferring an entire permit from one permit holder to another shall not be assessed any evaluation fees. If a transfer of ownership/operator requires permit(s) to be split into multiple permits, the applicant</w:t>
      </w:r>
      <w:r w:rsidR="00331353">
        <w:rPr>
          <w:rFonts w:ascii="Times New Roman" w:hAnsi="Times New Roman"/>
          <w:sz w:val="20"/>
        </w:rPr>
        <w:t>(s)</w:t>
      </w:r>
      <w:r w:rsidR="00AA1F4E" w:rsidRPr="00AA1F4E">
        <w:rPr>
          <w:rFonts w:ascii="Times New Roman" w:hAnsi="Times New Roman"/>
          <w:sz w:val="20"/>
        </w:rPr>
        <w:t xml:space="preserve"> shall be assessed evaluation fee</w:t>
      </w:r>
      <w:r w:rsidR="00F80381">
        <w:rPr>
          <w:rFonts w:ascii="Times New Roman" w:hAnsi="Times New Roman"/>
          <w:sz w:val="20"/>
        </w:rPr>
        <w:t>(s)</w:t>
      </w:r>
      <w:r w:rsidR="00AA1F4E" w:rsidRPr="00AA1F4E">
        <w:rPr>
          <w:rFonts w:ascii="Times New Roman" w:hAnsi="Times New Roman"/>
          <w:sz w:val="20"/>
        </w:rPr>
        <w:t xml:space="preserve"> as specified in </w:t>
      </w:r>
      <w:r w:rsidR="00AA1F4E">
        <w:rPr>
          <w:rFonts w:ascii="Times New Roman" w:hAnsi="Times New Roman"/>
          <w:sz w:val="20"/>
        </w:rPr>
        <w:t>Rule 210</w:t>
      </w:r>
      <w:r w:rsidR="00AA1F4E" w:rsidRPr="00AA1F4E">
        <w:rPr>
          <w:rFonts w:ascii="Times New Roman" w:hAnsi="Times New Roman"/>
          <w:sz w:val="20"/>
        </w:rPr>
        <w:t>.</w:t>
      </w:r>
    </w:p>
    <w:p w14:paraId="41F3C2B5" w14:textId="77777777" w:rsidR="0016292F" w:rsidRDefault="0016292F">
      <w:pPr>
        <w:tabs>
          <w:tab w:val="left" w:pos="-720"/>
        </w:tabs>
        <w:suppressAutoHyphens/>
        <w:rPr>
          <w:rFonts w:ascii="Times New Roman" w:hAnsi="Times New Roman"/>
          <w:sz w:val="20"/>
        </w:rPr>
      </w:pPr>
    </w:p>
    <w:p w14:paraId="3F8167FB" w14:textId="216A88D4" w:rsidR="0016292F" w:rsidRDefault="0016292F">
      <w:pPr>
        <w:tabs>
          <w:tab w:val="left" w:pos="-720"/>
          <w:tab w:val="left" w:pos="0"/>
          <w:tab w:val="left" w:pos="720"/>
        </w:tabs>
        <w:suppressAutoHyphens/>
        <w:ind w:left="1440" w:hanging="1440"/>
        <w:rPr>
          <w:rFonts w:ascii="Times New Roman" w:hAnsi="Times New Roman"/>
          <w:sz w:val="20"/>
        </w:rPr>
      </w:pPr>
      <w:r>
        <w:rPr>
          <w:rFonts w:ascii="Times New Roman" w:hAnsi="Times New Roman"/>
          <w:sz w:val="20"/>
        </w:rPr>
        <w:tab/>
      </w:r>
      <w:r>
        <w:rPr>
          <w:rFonts w:ascii="Times New Roman" w:hAnsi="Times New Roman"/>
          <w:sz w:val="20"/>
        </w:rPr>
        <w:tab/>
        <w:t xml:space="preserve">An application for the transfer of ownership only shall constitute a temporary Permit to Operate if authorized by Health and Safety Code </w:t>
      </w:r>
      <w:r w:rsidR="00CC4CD3" w:rsidRPr="003B5947">
        <w:t>§</w:t>
      </w:r>
      <w:r>
        <w:rPr>
          <w:rFonts w:ascii="Times New Roman" w:hAnsi="Times New Roman"/>
          <w:sz w:val="20"/>
        </w:rPr>
        <w:t xml:space="preserve">42301(f). The Control Officer shall approve an application for the transfer of a permit if </w:t>
      </w:r>
      <w:proofErr w:type="gramStart"/>
      <w:r>
        <w:rPr>
          <w:rFonts w:ascii="Times New Roman" w:hAnsi="Times New Roman"/>
          <w:sz w:val="20"/>
        </w:rPr>
        <w:t>all of</w:t>
      </w:r>
      <w:proofErr w:type="gramEnd"/>
      <w:r>
        <w:rPr>
          <w:rFonts w:ascii="Times New Roman" w:hAnsi="Times New Roman"/>
          <w:sz w:val="20"/>
        </w:rPr>
        <w:t xml:space="preserve"> the following requirements are met:</w:t>
      </w:r>
    </w:p>
    <w:p w14:paraId="627ED3EF" w14:textId="77777777" w:rsidR="0016292F" w:rsidRDefault="0016292F">
      <w:pPr>
        <w:tabs>
          <w:tab w:val="left" w:pos="-720"/>
        </w:tabs>
        <w:suppressAutoHyphens/>
        <w:rPr>
          <w:rFonts w:ascii="Times New Roman" w:hAnsi="Times New Roman"/>
          <w:sz w:val="20"/>
        </w:rPr>
      </w:pPr>
    </w:p>
    <w:p w14:paraId="36956A2A" w14:textId="77777777" w:rsidR="0016292F" w:rsidRDefault="0016292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a.</w:t>
      </w:r>
      <w:r>
        <w:rPr>
          <w:rFonts w:ascii="Times New Roman" w:hAnsi="Times New Roman"/>
          <w:sz w:val="20"/>
        </w:rPr>
        <w:tab/>
        <w:t xml:space="preserve">the article, machine, equipment, or contrivance subject to the permit </w:t>
      </w:r>
      <w:proofErr w:type="gramStart"/>
      <w:r>
        <w:rPr>
          <w:rFonts w:ascii="Times New Roman" w:hAnsi="Times New Roman"/>
          <w:sz w:val="20"/>
        </w:rPr>
        <w:t>is in compliance with</w:t>
      </w:r>
      <w:proofErr w:type="gramEnd"/>
      <w:r>
        <w:rPr>
          <w:rFonts w:ascii="Times New Roman" w:hAnsi="Times New Roman"/>
          <w:sz w:val="20"/>
        </w:rPr>
        <w:t xml:space="preserve"> all applicable orders, rules, and regulations of the District, Air Resources Board and the Environmental Protection Agency; </w:t>
      </w:r>
    </w:p>
    <w:p w14:paraId="1D16AE24" w14:textId="77777777" w:rsidR="0016292F" w:rsidRDefault="0016292F">
      <w:pPr>
        <w:tabs>
          <w:tab w:val="left" w:pos="-720"/>
        </w:tabs>
        <w:suppressAutoHyphens/>
        <w:rPr>
          <w:rFonts w:ascii="Times New Roman" w:hAnsi="Times New Roman"/>
          <w:sz w:val="20"/>
        </w:rPr>
      </w:pPr>
    </w:p>
    <w:p w14:paraId="0A236F9A" w14:textId="77777777" w:rsidR="0016292F" w:rsidRDefault="0016292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b.</w:t>
      </w:r>
      <w:r>
        <w:rPr>
          <w:rFonts w:ascii="Times New Roman" w:hAnsi="Times New Roman"/>
          <w:sz w:val="20"/>
        </w:rPr>
        <w:tab/>
        <w:t>a written agreement or other written proof of transfer of ownership deemed sufficient by the Control Officer which specifies the date of ownership transfer has been submitted to the District;</w:t>
      </w:r>
    </w:p>
    <w:p w14:paraId="0C7D163B" w14:textId="77777777" w:rsidR="0016292F" w:rsidRDefault="0016292F">
      <w:pPr>
        <w:tabs>
          <w:tab w:val="left" w:pos="-720"/>
        </w:tabs>
        <w:suppressAutoHyphens/>
        <w:rPr>
          <w:rFonts w:ascii="Times New Roman" w:hAnsi="Times New Roman"/>
          <w:sz w:val="20"/>
        </w:rPr>
      </w:pPr>
    </w:p>
    <w:p w14:paraId="35CA7A26" w14:textId="77777777" w:rsidR="0016292F" w:rsidRDefault="0016292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c.</w:t>
      </w:r>
      <w:r>
        <w:rPr>
          <w:rFonts w:ascii="Times New Roman" w:hAnsi="Times New Roman"/>
          <w:sz w:val="20"/>
        </w:rPr>
        <w:tab/>
        <w:t xml:space="preserve">the permit has been reviewed by the District to determine that permit conditions are adequate to ensure compliance with, and enforceability of, District rules and regulations applicable to the article, </w:t>
      </w:r>
      <w:proofErr w:type="gramStart"/>
      <w:r>
        <w:rPr>
          <w:rFonts w:ascii="Times New Roman" w:hAnsi="Times New Roman"/>
          <w:sz w:val="20"/>
        </w:rPr>
        <w:t>machine</w:t>
      </w:r>
      <w:proofErr w:type="gramEnd"/>
      <w:r>
        <w:rPr>
          <w:rFonts w:ascii="Times New Roman" w:hAnsi="Times New Roman"/>
          <w:sz w:val="20"/>
        </w:rPr>
        <w:t xml:space="preserve"> or contrivance for which the permit was issued;</w:t>
      </w:r>
    </w:p>
    <w:p w14:paraId="33BCDDCB" w14:textId="77777777" w:rsidR="0016292F" w:rsidRDefault="0016292F">
      <w:pPr>
        <w:tabs>
          <w:tab w:val="left" w:pos="-720"/>
        </w:tabs>
        <w:suppressAutoHyphens/>
        <w:rPr>
          <w:rFonts w:ascii="Times New Roman" w:hAnsi="Times New Roman"/>
          <w:sz w:val="20"/>
          <w:u w:val="single"/>
        </w:rPr>
      </w:pPr>
    </w:p>
    <w:p w14:paraId="6F95945A" w14:textId="77777777" w:rsidR="0016292F" w:rsidRDefault="0016292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d.</w:t>
      </w:r>
      <w:r>
        <w:rPr>
          <w:rFonts w:ascii="Times New Roman" w:hAnsi="Times New Roman"/>
          <w:sz w:val="20"/>
        </w:rPr>
        <w:tab/>
        <w:t>where D(1)(c) has not been met, the Control Officer shall require that the permit be revised to specify the permit conditions necessary in accordance with all applicable rules and regulations; and</w:t>
      </w:r>
    </w:p>
    <w:p w14:paraId="58693834" w14:textId="77777777" w:rsidR="0016292F" w:rsidRDefault="0016292F">
      <w:pPr>
        <w:tabs>
          <w:tab w:val="left" w:pos="-720"/>
        </w:tabs>
        <w:suppressAutoHyphens/>
        <w:rPr>
          <w:rFonts w:ascii="Times New Roman" w:hAnsi="Times New Roman"/>
          <w:sz w:val="20"/>
          <w:u w:val="single"/>
        </w:rPr>
      </w:pPr>
    </w:p>
    <w:p w14:paraId="579E184D" w14:textId="77777777" w:rsidR="0016292F" w:rsidRDefault="0016292F">
      <w:pPr>
        <w:tabs>
          <w:tab w:val="left" w:pos="-720"/>
          <w:tab w:val="left" w:pos="0"/>
          <w:tab w:val="left" w:pos="720"/>
          <w:tab w:val="left" w:pos="1440"/>
        </w:tabs>
        <w:suppressAutoHyphens/>
        <w:ind w:left="2160" w:hanging="2160"/>
        <w:rPr>
          <w:rFonts w:ascii="Times New Roman" w:hAnsi="Times New Roman"/>
          <w:sz w:val="20"/>
        </w:rPr>
      </w:pPr>
      <w:r>
        <w:rPr>
          <w:rFonts w:ascii="Times New Roman" w:hAnsi="Times New Roman"/>
          <w:sz w:val="20"/>
        </w:rPr>
        <w:tab/>
      </w:r>
      <w:r>
        <w:rPr>
          <w:rFonts w:ascii="Times New Roman" w:hAnsi="Times New Roman"/>
          <w:sz w:val="20"/>
        </w:rPr>
        <w:tab/>
        <w:t>e.</w:t>
      </w:r>
      <w:r>
        <w:rPr>
          <w:rFonts w:ascii="Times New Roman" w:hAnsi="Times New Roman"/>
          <w:sz w:val="20"/>
        </w:rPr>
        <w:tab/>
        <w:t>all fees associated with the permit have been paid.</w:t>
      </w:r>
    </w:p>
    <w:p w14:paraId="67173403" w14:textId="77777777" w:rsidR="0016292F" w:rsidRDefault="0016292F">
      <w:pPr>
        <w:tabs>
          <w:tab w:val="left" w:pos="-720"/>
          <w:tab w:val="left" w:pos="0"/>
          <w:tab w:val="left" w:pos="720"/>
          <w:tab w:val="left" w:pos="1440"/>
        </w:tabs>
        <w:suppressAutoHyphens/>
        <w:ind w:left="2160" w:hanging="2160"/>
        <w:rPr>
          <w:rFonts w:ascii="Times New Roman" w:hAnsi="Times New Roman"/>
          <w:sz w:val="20"/>
        </w:rPr>
      </w:pPr>
    </w:p>
    <w:p w14:paraId="00334277" w14:textId="77777777" w:rsidR="0016292F" w:rsidRDefault="0016292F">
      <w:pPr>
        <w:tabs>
          <w:tab w:val="left" w:pos="-720"/>
          <w:tab w:val="left" w:pos="0"/>
          <w:tab w:val="left" w:pos="720"/>
          <w:tab w:val="left" w:pos="1440"/>
        </w:tabs>
        <w:suppressAutoHyphens/>
        <w:ind w:left="1440" w:hanging="1440"/>
        <w:rPr>
          <w:rFonts w:ascii="Times New Roman" w:hAnsi="Times New Roman"/>
          <w:sz w:val="20"/>
        </w:rPr>
      </w:pPr>
      <w:r>
        <w:rPr>
          <w:rFonts w:ascii="Times New Roman" w:hAnsi="Times New Roman"/>
          <w:sz w:val="20"/>
        </w:rPr>
        <w:tab/>
        <w:t>2.</w:t>
      </w:r>
      <w:r>
        <w:rPr>
          <w:rFonts w:ascii="Times New Roman" w:hAnsi="Times New Roman"/>
          <w:sz w:val="20"/>
        </w:rPr>
        <w:tab/>
        <w:t xml:space="preserve">An application for transfer of a permit shall be filed within 30 days of change of ownership or operator. </w:t>
      </w:r>
    </w:p>
    <w:p w14:paraId="5658551E" w14:textId="77777777" w:rsidR="00B7661A" w:rsidRPr="00B7661A" w:rsidRDefault="00B7661A" w:rsidP="00B7661A">
      <w:pPr>
        <w:rPr>
          <w:rFonts w:ascii="Times New Roman" w:hAnsi="Times New Roman"/>
          <w:sz w:val="20"/>
        </w:rPr>
      </w:pPr>
    </w:p>
    <w:sectPr w:rsidR="00B7661A" w:rsidRPr="00B7661A">
      <w:footerReference w:type="default" r:id="rId10"/>
      <w:endnotePr>
        <w:numFmt w:val="decimal"/>
      </w:endnotePr>
      <w:pgSz w:w="12240" w:h="15840"/>
      <w:pgMar w:top="144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8EDEB" w14:textId="77777777" w:rsidR="00715A7A" w:rsidRDefault="00715A7A">
      <w:pPr>
        <w:spacing w:line="20" w:lineRule="exact"/>
        <w:rPr>
          <w:sz w:val="24"/>
        </w:rPr>
      </w:pPr>
    </w:p>
  </w:endnote>
  <w:endnote w:type="continuationSeparator" w:id="0">
    <w:p w14:paraId="54B1C5AC" w14:textId="77777777" w:rsidR="00715A7A" w:rsidRDefault="00715A7A">
      <w:r>
        <w:rPr>
          <w:sz w:val="24"/>
        </w:rPr>
        <w:t xml:space="preserve"> </w:t>
      </w:r>
    </w:p>
  </w:endnote>
  <w:endnote w:type="continuationNotice" w:id="1">
    <w:p w14:paraId="6C5C1508" w14:textId="77777777" w:rsidR="00715A7A" w:rsidRDefault="00715A7A">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BC610" w14:textId="77777777" w:rsidR="0016292F" w:rsidRDefault="0016292F">
    <w:pPr>
      <w:tabs>
        <w:tab w:val="left" w:pos="-720"/>
      </w:tabs>
      <w:suppressAutoHyphens/>
      <w:rPr>
        <w:rFonts w:ascii="Times New Roman" w:hAnsi="Times New Roman"/>
        <w:sz w:val="20"/>
      </w:rPr>
    </w:pPr>
  </w:p>
  <w:p w14:paraId="433A2EED" w14:textId="761D9218" w:rsidR="0016292F" w:rsidRDefault="0016292F">
    <w:pPr>
      <w:tabs>
        <w:tab w:val="center" w:pos="4680"/>
        <w:tab w:val="right" w:pos="9360"/>
      </w:tabs>
      <w:suppressAutoHyphens/>
      <w:rPr>
        <w:rFonts w:ascii="Times New Roman" w:hAnsi="Times New Roman"/>
        <w:sz w:val="20"/>
      </w:rPr>
    </w:pPr>
    <w:r>
      <w:rPr>
        <w:rFonts w:ascii="Times New Roman" w:hAnsi="Times New Roman"/>
        <w:sz w:val="20"/>
      </w:rPr>
      <w:t xml:space="preserve">Santa Barbara County APCD Rule 203 </w:t>
    </w:r>
    <w:r>
      <w:rPr>
        <w:rFonts w:ascii="Times New Roman" w:hAnsi="Times New Roman"/>
        <w:sz w:val="20"/>
      </w:rPr>
      <w:tab/>
      <w:t xml:space="preserve">203 - </w:t>
    </w:r>
    <w:r>
      <w:rPr>
        <w:rFonts w:ascii="Times New Roman" w:hAnsi="Times New Roman"/>
        <w:sz w:val="20"/>
      </w:rPr>
      <w:fldChar w:fldCharType="begin"/>
    </w:r>
    <w:r>
      <w:rPr>
        <w:rFonts w:ascii="Times New Roman" w:hAnsi="Times New Roman"/>
        <w:sz w:val="20"/>
      </w:rPr>
      <w:instrText>page \* arabic</w:instrText>
    </w:r>
    <w:r>
      <w:rPr>
        <w:rFonts w:ascii="Times New Roman" w:hAnsi="Times New Roman"/>
        <w:sz w:val="20"/>
      </w:rPr>
      <w:fldChar w:fldCharType="separate"/>
    </w:r>
    <w:r w:rsidR="0054071F">
      <w:rPr>
        <w:rFonts w:ascii="Times New Roman" w:hAnsi="Times New Roman"/>
        <w:noProof/>
        <w:sz w:val="20"/>
      </w:rPr>
      <w:t>1</w:t>
    </w:r>
    <w:r>
      <w:rPr>
        <w:rFonts w:ascii="Times New Roman" w:hAnsi="Times New Roman"/>
        <w:sz w:val="20"/>
      </w:rPr>
      <w:fldChar w:fldCharType="end"/>
    </w:r>
    <w:r>
      <w:rPr>
        <w:rFonts w:ascii="Times New Roman" w:hAnsi="Times New Roman"/>
        <w:sz w:val="20"/>
      </w:rPr>
      <w:tab/>
    </w:r>
    <w:r w:rsidR="00736E29">
      <w:rPr>
        <w:rFonts w:ascii="Times New Roman" w:hAnsi="Times New Roman"/>
        <w:sz w:val="20"/>
      </w:rPr>
      <w:t>Ma</w:t>
    </w:r>
    <w:r w:rsidR="0047082E">
      <w:rPr>
        <w:rFonts w:ascii="Times New Roman" w:hAnsi="Times New Roman"/>
        <w:sz w:val="20"/>
      </w:rPr>
      <w:t>y 16</w:t>
    </w:r>
    <w:r>
      <w:rPr>
        <w:rFonts w:ascii="Times New Roman" w:hAnsi="Times New Roman"/>
        <w:sz w:val="20"/>
      </w:rPr>
      <w:t xml:space="preserve">, </w:t>
    </w:r>
    <w:r w:rsidR="005D696F">
      <w:rPr>
        <w:rFonts w:ascii="Times New Roman" w:hAnsi="Times New Roman"/>
        <w:sz w:val="20"/>
      </w:rPr>
      <w:t>202</w:t>
    </w:r>
    <w:r w:rsidR="00736E29">
      <w:rPr>
        <w:rFonts w:ascii="Times New Roman" w:hAnsi="Times New Roman"/>
        <w:sz w:val="20"/>
      </w:rPr>
      <w:t>4</w:t>
    </w:r>
  </w:p>
  <w:p w14:paraId="2A270F25" w14:textId="77777777" w:rsidR="0016292F" w:rsidRDefault="0016292F">
    <w:pPr>
      <w:tabs>
        <w:tab w:val="center" w:pos="4680"/>
        <w:tab w:val="right" w:pos="9360"/>
      </w:tabs>
      <w:suppressAutoHyphens/>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19234" w14:textId="77777777" w:rsidR="00715A7A" w:rsidRDefault="00715A7A">
      <w:r>
        <w:rPr>
          <w:sz w:val="24"/>
        </w:rPr>
        <w:separator/>
      </w:r>
    </w:p>
  </w:footnote>
  <w:footnote w:type="continuationSeparator" w:id="0">
    <w:p w14:paraId="2E37EE92" w14:textId="77777777" w:rsidR="00715A7A" w:rsidRDefault="00715A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noTabHangInd/>
    <w:noColumnBalance/>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6EAE"/>
    <w:rsid w:val="0016292F"/>
    <w:rsid w:val="00331353"/>
    <w:rsid w:val="00366EAE"/>
    <w:rsid w:val="0047082E"/>
    <w:rsid w:val="0054071F"/>
    <w:rsid w:val="005D696F"/>
    <w:rsid w:val="00610F3C"/>
    <w:rsid w:val="006516D0"/>
    <w:rsid w:val="00715A7A"/>
    <w:rsid w:val="00717A50"/>
    <w:rsid w:val="00736E29"/>
    <w:rsid w:val="007E4E1E"/>
    <w:rsid w:val="008B2BE1"/>
    <w:rsid w:val="00AA1F4E"/>
    <w:rsid w:val="00AD2953"/>
    <w:rsid w:val="00AD4CA2"/>
    <w:rsid w:val="00B7661A"/>
    <w:rsid w:val="00CC4CD3"/>
    <w:rsid w:val="00F80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0B4E06"/>
  <w15:chartTrackingRefBased/>
  <w15:docId w15:val="{C4D5F0F3-8DC2-4AF6-A790-91F58CD2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hAnsi="CG Time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Revision">
    <w:name w:val="Revision"/>
    <w:hidden/>
    <w:uiPriority w:val="99"/>
    <w:semiHidden/>
    <w:rsid w:val="005D696F"/>
    <w:rPr>
      <w:rFonts w:ascii="CG Times" w:hAnsi="CG Times"/>
      <w:sz w:val="18"/>
    </w:rPr>
  </w:style>
  <w:style w:type="character" w:styleId="CommentReference">
    <w:name w:val="annotation reference"/>
    <w:rsid w:val="00AA1F4E"/>
    <w:rPr>
      <w:sz w:val="16"/>
      <w:szCs w:val="16"/>
    </w:rPr>
  </w:style>
  <w:style w:type="paragraph" w:styleId="CommentText">
    <w:name w:val="annotation text"/>
    <w:basedOn w:val="Normal"/>
    <w:link w:val="CommentTextChar"/>
    <w:rsid w:val="00AA1F4E"/>
    <w:rPr>
      <w:sz w:val="20"/>
    </w:rPr>
  </w:style>
  <w:style w:type="character" w:customStyle="1" w:styleId="CommentTextChar">
    <w:name w:val="Comment Text Char"/>
    <w:link w:val="CommentText"/>
    <w:rsid w:val="00AA1F4E"/>
    <w:rPr>
      <w:rFonts w:ascii="CG Times" w:hAnsi="CG Times"/>
    </w:rPr>
  </w:style>
  <w:style w:type="paragraph" w:styleId="CommentSubject">
    <w:name w:val="annotation subject"/>
    <w:basedOn w:val="CommentText"/>
    <w:next w:val="CommentText"/>
    <w:link w:val="CommentSubjectChar"/>
    <w:rsid w:val="00AA1F4E"/>
    <w:rPr>
      <w:b/>
      <w:bCs/>
    </w:rPr>
  </w:style>
  <w:style w:type="character" w:customStyle="1" w:styleId="CommentSubjectChar">
    <w:name w:val="Comment Subject Char"/>
    <w:link w:val="CommentSubject"/>
    <w:rsid w:val="00AA1F4E"/>
    <w:rPr>
      <w:rFonts w:ascii="CG Times" w:hAnsi="CG 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EA9BA-11F0-4946-8BF6-2B427DBA20AD}">
  <ds:schemaRefs>
    <ds:schemaRef ds:uri="http://purl.org/dc/terms/"/>
    <ds:schemaRef ds:uri="http://schemas.openxmlformats.org/package/2006/metadata/core-properties"/>
    <ds:schemaRef ds:uri="d10d6a3f-5cfc-4277-87ba-ce8fa16ea15f"/>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elements/1.1/"/>
    <ds:schemaRef ds:uri="http://purl.org/dc/dcmitype/"/>
    <ds:schemaRef ds:uri="786723fd-9950-4a51-81eb-81d0a6435b3d"/>
  </ds:schemaRefs>
</ds:datastoreItem>
</file>

<file path=customXml/itemProps2.xml><?xml version="1.0" encoding="utf-8"?>
<ds:datastoreItem xmlns:ds="http://schemas.openxmlformats.org/officeDocument/2006/customXml" ds:itemID="{CA7B5428-C6BB-48DB-AFC3-B6977E94CFF4}">
  <ds:schemaRefs>
    <ds:schemaRef ds:uri="http://schemas.microsoft.com/sharepoint/v3/contenttype/forms"/>
  </ds:schemaRefs>
</ds:datastoreItem>
</file>

<file path=customXml/itemProps3.xml><?xml version="1.0" encoding="utf-8"?>
<ds:datastoreItem xmlns:ds="http://schemas.openxmlformats.org/officeDocument/2006/customXml" ds:itemID="{217CEA4E-0881-4991-B153-620F53E3E3BD}">
  <ds:schemaRefs>
    <ds:schemaRef ds:uri="http://schemas.openxmlformats.org/officeDocument/2006/bibliography"/>
  </ds:schemaRefs>
</ds:datastoreItem>
</file>

<file path=customXml/itemProps4.xml><?xml version="1.0" encoding="utf-8"?>
<ds:datastoreItem xmlns:ds="http://schemas.openxmlformats.org/officeDocument/2006/customXml" ds:itemID="{E8CC374B-EAB3-4DB3-B509-A1F8C5604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RULE 203.	TRANSFER.  (Adopted 10/18/71, revised 5/1/72, readopted 10/23/78, revised [date of adoption])</vt:lpstr>
    </vt:vector>
  </TitlesOfParts>
  <Company>Air Pollution Control District</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X. Robinson</dc:creator>
  <cp:keywords/>
  <dc:description/>
  <cp:lastModifiedBy>Timothy J. Mitro</cp:lastModifiedBy>
  <cp:revision>14</cp:revision>
  <cp:lastPrinted>1998-12-22T23:39:00Z</cp:lastPrinted>
  <dcterms:created xsi:type="dcterms:W3CDTF">2023-08-31T15:35:00Z</dcterms:created>
  <dcterms:modified xsi:type="dcterms:W3CDTF">2024-03-25T15:55:00Z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