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314" w:rsidRDefault="00AB6D88">
      <w:pPr>
        <w:tabs>
          <w:tab w:val="left" w:pos="-720"/>
          <w:tab w:val="left" w:pos="0"/>
          <w:tab w:val="left" w:pos="720"/>
        </w:tabs>
        <w:suppressAutoHyphens/>
        <w:ind w:left="1440" w:hanging="1440"/>
        <w:rPr>
          <w:b/>
        </w:rPr>
      </w:pPr>
      <w:r>
        <w:rPr>
          <w:b/>
        </w:rPr>
        <w:t>RULE 204.</w:t>
      </w:r>
      <w:r>
        <w:rPr>
          <w:b/>
        </w:rPr>
        <w:tab/>
        <w:t>APPLICATIONS</w:t>
      </w:r>
    </w:p>
    <w:p w:rsidR="00AB6D88" w:rsidRPr="00AE4FA2" w:rsidRDefault="004C7314">
      <w:pPr>
        <w:tabs>
          <w:tab w:val="left" w:pos="-720"/>
          <w:tab w:val="left" w:pos="0"/>
          <w:tab w:val="left" w:pos="720"/>
        </w:tabs>
        <w:suppressAutoHyphens/>
        <w:ind w:left="1440" w:hanging="1440"/>
      </w:pPr>
      <w:r>
        <w:rPr>
          <w:b/>
        </w:rPr>
        <w:tab/>
      </w:r>
      <w:r>
        <w:rPr>
          <w:b/>
        </w:rPr>
        <w:tab/>
      </w:r>
      <w:r w:rsidR="00AB6D88" w:rsidRPr="00AE4FA2">
        <w:t>(Adopted 10/18/1971, revised 5/1/1972, readopted 10/23/1978, revised 7/1979, 8/8/1988, 4/17/1997, and</w:t>
      </w:r>
      <w:r w:rsidR="0063288B">
        <w:t xml:space="preserve"> 8/25/2016</w:t>
      </w:r>
      <w:bookmarkStart w:id="0" w:name="_GoBack"/>
      <w:bookmarkEnd w:id="0"/>
      <w:r w:rsidR="00AB6D88" w:rsidRPr="00AE4FA2">
        <w:t>)</w:t>
      </w:r>
      <w:r w:rsidR="003C62FA" w:rsidRPr="00AE4FA2">
        <w:t xml:space="preserve"> </w:t>
      </w:r>
      <w:r w:rsidR="00A216EF" w:rsidRPr="00AE4FA2">
        <w:t xml:space="preserve"> </w:t>
      </w:r>
    </w:p>
    <w:p w:rsidR="00AB6D88" w:rsidRDefault="00AB6D88">
      <w:pPr>
        <w:tabs>
          <w:tab w:val="left" w:pos="-720"/>
        </w:tabs>
        <w:suppressAutoHyphens/>
      </w:pPr>
    </w:p>
    <w:p w:rsidR="003B4CD5" w:rsidRDefault="003B4CD5">
      <w:pPr>
        <w:tabs>
          <w:tab w:val="left" w:pos="-720"/>
        </w:tabs>
        <w:suppressAutoHyphens/>
      </w:pPr>
    </w:p>
    <w:p w:rsidR="00AB6D88" w:rsidRDefault="00AB6D88">
      <w:pPr>
        <w:tabs>
          <w:tab w:val="left" w:pos="-720"/>
          <w:tab w:val="left" w:pos="0"/>
        </w:tabs>
        <w:suppressAutoHyphens/>
        <w:ind w:left="720" w:hanging="720"/>
        <w:rPr>
          <w:b/>
          <w:u w:val="single"/>
        </w:rPr>
      </w:pPr>
      <w:r>
        <w:rPr>
          <w:b/>
        </w:rPr>
        <w:t>A.</w:t>
      </w:r>
      <w:r>
        <w:rPr>
          <w:b/>
        </w:rPr>
        <w:tab/>
        <w:t>Applicability</w:t>
      </w:r>
    </w:p>
    <w:p w:rsidR="00AB6D88" w:rsidRDefault="00AB6D88">
      <w:pPr>
        <w:tabs>
          <w:tab w:val="left" w:pos="-720"/>
        </w:tabs>
        <w:suppressAutoHyphens/>
        <w:rPr>
          <w:u w:val="single"/>
        </w:rPr>
      </w:pPr>
    </w:p>
    <w:p w:rsidR="00AB6D88" w:rsidRDefault="00AB6D88">
      <w:pPr>
        <w:tabs>
          <w:tab w:val="left" w:pos="-720"/>
          <w:tab w:val="left" w:pos="0"/>
        </w:tabs>
        <w:suppressAutoHyphens/>
        <w:ind w:left="720" w:hanging="720"/>
      </w:pPr>
      <w:r>
        <w:tab/>
        <w:t>This rule shall apply to any person applying for an Authority to Construct or a Permit to Operate.</w:t>
      </w:r>
    </w:p>
    <w:p w:rsidR="00AB6D88" w:rsidRDefault="00AB6D88">
      <w:pPr>
        <w:tabs>
          <w:tab w:val="left" w:pos="-720"/>
        </w:tabs>
        <w:suppressAutoHyphens/>
        <w:rPr>
          <w:u w:val="single"/>
        </w:rPr>
      </w:pPr>
    </w:p>
    <w:p w:rsidR="00AB6D88" w:rsidRDefault="00AB6D88">
      <w:pPr>
        <w:tabs>
          <w:tab w:val="left" w:pos="-720"/>
          <w:tab w:val="left" w:pos="0"/>
        </w:tabs>
        <w:suppressAutoHyphens/>
        <w:ind w:left="720" w:hanging="720"/>
        <w:rPr>
          <w:b/>
          <w:u w:val="single"/>
        </w:rPr>
      </w:pPr>
      <w:r>
        <w:rPr>
          <w:b/>
        </w:rPr>
        <w:t>B.</w:t>
      </w:r>
      <w:r>
        <w:rPr>
          <w:b/>
        </w:rPr>
        <w:tab/>
        <w:t>Exemptions</w:t>
      </w:r>
    </w:p>
    <w:p w:rsidR="00AB6D88" w:rsidRDefault="00AB6D88">
      <w:pPr>
        <w:tabs>
          <w:tab w:val="left" w:pos="-720"/>
        </w:tabs>
        <w:suppressAutoHyphens/>
        <w:rPr>
          <w:u w:val="single"/>
        </w:rPr>
      </w:pPr>
    </w:p>
    <w:p w:rsidR="00AB6D88" w:rsidRDefault="00AB6D88">
      <w:pPr>
        <w:tabs>
          <w:tab w:val="left" w:pos="-720"/>
          <w:tab w:val="left" w:pos="0"/>
        </w:tabs>
        <w:suppressAutoHyphens/>
        <w:ind w:left="720" w:hanging="720"/>
      </w:pPr>
      <w:r>
        <w:tab/>
        <w:t>None.</w:t>
      </w:r>
    </w:p>
    <w:p w:rsidR="00AB6D88" w:rsidRDefault="00AB6D88">
      <w:pPr>
        <w:tabs>
          <w:tab w:val="left" w:pos="-720"/>
        </w:tabs>
        <w:suppressAutoHyphens/>
        <w:rPr>
          <w:u w:val="single"/>
        </w:rPr>
      </w:pPr>
    </w:p>
    <w:p w:rsidR="00AB6D88" w:rsidRDefault="00AB6D88">
      <w:pPr>
        <w:tabs>
          <w:tab w:val="left" w:pos="-720"/>
          <w:tab w:val="left" w:pos="0"/>
        </w:tabs>
        <w:suppressAutoHyphens/>
        <w:ind w:left="720" w:hanging="720"/>
        <w:rPr>
          <w:b/>
          <w:u w:val="single"/>
        </w:rPr>
      </w:pPr>
      <w:r>
        <w:rPr>
          <w:b/>
        </w:rPr>
        <w:t>C.</w:t>
      </w:r>
      <w:r>
        <w:rPr>
          <w:b/>
        </w:rPr>
        <w:tab/>
        <w:t>Definitions</w:t>
      </w:r>
    </w:p>
    <w:p w:rsidR="00AB6D88" w:rsidRDefault="00AB6D88">
      <w:pPr>
        <w:tabs>
          <w:tab w:val="left" w:pos="-720"/>
        </w:tabs>
        <w:suppressAutoHyphens/>
        <w:rPr>
          <w:u w:val="single"/>
        </w:rPr>
      </w:pPr>
    </w:p>
    <w:p w:rsidR="00AB6D88" w:rsidRDefault="00AB6D88">
      <w:pPr>
        <w:tabs>
          <w:tab w:val="left" w:pos="-720"/>
          <w:tab w:val="left" w:pos="0"/>
        </w:tabs>
        <w:suppressAutoHyphens/>
        <w:ind w:left="720" w:hanging="720"/>
      </w:pPr>
      <w:r>
        <w:tab/>
        <w:t>See Rule 102, Definitions, for definitions.</w:t>
      </w:r>
    </w:p>
    <w:p w:rsidR="00AB6D88" w:rsidRDefault="00AB6D88">
      <w:pPr>
        <w:tabs>
          <w:tab w:val="left" w:pos="-720"/>
        </w:tabs>
        <w:suppressAutoHyphens/>
      </w:pPr>
    </w:p>
    <w:p w:rsidR="00AB6D88" w:rsidRDefault="00AB6D88">
      <w:pPr>
        <w:tabs>
          <w:tab w:val="left" w:pos="-720"/>
          <w:tab w:val="left" w:pos="0"/>
        </w:tabs>
        <w:suppressAutoHyphens/>
        <w:ind w:left="720" w:hanging="720"/>
        <w:rPr>
          <w:b/>
        </w:rPr>
      </w:pPr>
      <w:r>
        <w:rPr>
          <w:b/>
        </w:rPr>
        <w:t>D.</w:t>
      </w:r>
      <w:r>
        <w:rPr>
          <w:b/>
        </w:rPr>
        <w:tab/>
        <w:t xml:space="preserve">Requirement </w:t>
      </w:r>
      <w:r w:rsidR="00CF6FBC">
        <w:rPr>
          <w:b/>
        </w:rPr>
        <w:t xml:space="preserve">– </w:t>
      </w:r>
      <w:r>
        <w:rPr>
          <w:b/>
        </w:rPr>
        <w:t>Permit Application Completeness</w:t>
      </w:r>
    </w:p>
    <w:p w:rsidR="00AB6D88" w:rsidRDefault="00AB6D88">
      <w:pPr>
        <w:tabs>
          <w:tab w:val="left" w:pos="-720"/>
        </w:tabs>
        <w:suppressAutoHyphens/>
      </w:pPr>
    </w:p>
    <w:p w:rsidR="00AB6D88" w:rsidRDefault="00AB6D88">
      <w:pPr>
        <w:tabs>
          <w:tab w:val="left" w:pos="-720"/>
          <w:tab w:val="left" w:pos="0"/>
        </w:tabs>
        <w:suppressAutoHyphens/>
        <w:ind w:left="720" w:hanging="720"/>
      </w:pPr>
      <w:r>
        <w:tab/>
        <w:t>Every application for an Authority to Construct or Permit to Operate required under Rule 201, Permits Required, shall be filed in the manner and form prescribed by the Control Officer, and shall give all the information necessary to make the determination required for the issuance of a permit. This information includes, but is not limited to, analyses, plans, or specifications which will disclose the nature, extent, quantity or degree of air contaminants which are, or may be, discharged by the source for which the permit was applied. The Control Officer may, during the processing of the application request an applicant to clarify, amplify, correct, or otherwise supplement the information submitted in the application. The application shall be submitted and all information therein shall be attested to be accurate to the best knowledge of the applicant.</w:t>
      </w:r>
    </w:p>
    <w:p w:rsidR="00AB6D88" w:rsidRDefault="00AB6D88">
      <w:pPr>
        <w:tabs>
          <w:tab w:val="left" w:pos="-720"/>
        </w:tabs>
        <w:suppressAutoHyphens/>
      </w:pPr>
      <w:r>
        <w:t xml:space="preserve"> </w:t>
      </w:r>
    </w:p>
    <w:p w:rsidR="00AB6D88" w:rsidRDefault="00AB6D88">
      <w:pPr>
        <w:tabs>
          <w:tab w:val="left" w:pos="-720"/>
          <w:tab w:val="left" w:pos="0"/>
        </w:tabs>
        <w:suppressAutoHyphens/>
        <w:ind w:left="720" w:hanging="720"/>
        <w:rPr>
          <w:b/>
        </w:rPr>
      </w:pPr>
      <w:r>
        <w:rPr>
          <w:b/>
        </w:rPr>
        <w:t>E.</w:t>
      </w:r>
      <w:r>
        <w:rPr>
          <w:b/>
        </w:rPr>
        <w:tab/>
        <w:t xml:space="preserve">Requirements </w:t>
      </w:r>
      <w:r w:rsidR="00CF6FBC">
        <w:rPr>
          <w:b/>
        </w:rPr>
        <w:t>–</w:t>
      </w:r>
      <w:r>
        <w:rPr>
          <w:b/>
        </w:rPr>
        <w:t xml:space="preserve"> Information Required</w:t>
      </w:r>
    </w:p>
    <w:p w:rsidR="00AB6D88" w:rsidRDefault="00AB6D88">
      <w:pPr>
        <w:tabs>
          <w:tab w:val="left" w:pos="-720"/>
        </w:tabs>
        <w:suppressAutoHyphens/>
      </w:pPr>
    </w:p>
    <w:p w:rsidR="00AB6D88" w:rsidRPr="00AE4FA2" w:rsidRDefault="00AB6D88">
      <w:pPr>
        <w:tabs>
          <w:tab w:val="left" w:pos="-720"/>
          <w:tab w:val="left" w:pos="0"/>
          <w:tab w:val="left" w:pos="720"/>
        </w:tabs>
        <w:suppressAutoHyphens/>
        <w:ind w:left="1440" w:hanging="1440"/>
        <w:rPr>
          <w:b/>
        </w:rPr>
      </w:pPr>
      <w:r w:rsidRPr="00AE4FA2">
        <w:rPr>
          <w:b/>
        </w:rPr>
        <w:tab/>
        <w:t>1.</w:t>
      </w:r>
      <w:r w:rsidRPr="00AE4FA2">
        <w:rPr>
          <w:b/>
        </w:rPr>
        <w:tab/>
        <w:t>General Information</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a.</w:t>
      </w:r>
      <w:r>
        <w:tab/>
        <w:t>This section outlines information required of applicants seeking permits to construct or modify pollution sources or control devices and specifies time frame for processing required of the District. All information required pursuant to District Rules and Regulations, and specified by the Control Officer on a list(s) maintained pursuant to Government Code Section 65940</w:t>
      </w:r>
      <w:r w:rsidR="0014368A">
        <w:t xml:space="preserve"> </w:t>
      </w:r>
      <w:r>
        <w:t>shall be submitted before an application can be considered to be complete.</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b.</w:t>
      </w:r>
      <w:r>
        <w:tab/>
        <w:t xml:space="preserve">The information requirements are divided into five parts. Section E.2 of this rule identifies the information required of all applicants seeking permits. Section E.3 of this rule identifies additional information required for applications where Best Available Control Technology, but not Air Quality Impact Analysis, is mandatory. Section E.4 of this rule identifies further information required for applications where Air Quality Impact Analysis is mandatory. Where a modified source is subject to Best Available Control Technology or Air Quality Impact Analysis, some of the information required in this rule may also be required for the existing portion of the facility. Section E.5 of this rule identifies emission offset information requirements and Section E.6 of this rule identifies health risk assessment information requirements. </w:t>
      </w:r>
    </w:p>
    <w:p w:rsidR="00AB6D88" w:rsidRDefault="00AB6D88">
      <w:pPr>
        <w:tabs>
          <w:tab w:val="left" w:pos="-720"/>
          <w:tab w:val="left" w:pos="0"/>
          <w:tab w:val="left" w:pos="720"/>
          <w:tab w:val="left" w:pos="1440"/>
        </w:tabs>
        <w:suppressAutoHyphens/>
        <w:ind w:left="2160" w:hanging="2160"/>
      </w:pPr>
    </w:p>
    <w:p w:rsidR="00AB6D88" w:rsidRDefault="00AB6D88">
      <w:pPr>
        <w:tabs>
          <w:tab w:val="left" w:pos="-720"/>
          <w:tab w:val="left" w:pos="0"/>
          <w:tab w:val="left" w:pos="720"/>
          <w:tab w:val="left" w:pos="1440"/>
        </w:tabs>
        <w:suppressAutoHyphens/>
        <w:ind w:left="2160" w:hanging="2160"/>
      </w:pPr>
      <w:r>
        <w:tab/>
      </w:r>
      <w:r>
        <w:tab/>
        <w:t>c.</w:t>
      </w:r>
      <w:r>
        <w:tab/>
        <w:t xml:space="preserve">The District urges all applicants to discuss their projects with our staff prior to the filing of applications. If ambient monitoring data is needed, these discussions should take place more than a year prior to application. For some projects, it may not be necessary to submit all the information listed to have an application deemed complete. Consultation </w:t>
      </w:r>
      <w:r>
        <w:lastRenderedPageBreak/>
        <w:t>with District staff will expedite the process by identifying the specific information that will be required of an applicant.</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 xml:space="preserve"> </w:t>
      </w:r>
      <w:r>
        <w:tab/>
      </w:r>
      <w:r>
        <w:tab/>
        <w:t>d.</w:t>
      </w:r>
      <w:r>
        <w:tab/>
        <w:t xml:space="preserve">Prior to filing an application with the District, when applicable, all applicants are urged to participate fully in the early stages of the environmental review process being undertaken by the lead agency for the applicant's project in order: (1) to be apprised of the applicable air quality and other environmental constraints, and (2) to make such project modifications as may be necessary to satisfy those constraints. </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e.</w:t>
      </w:r>
      <w:r>
        <w:tab/>
        <w:t>Results of all analyses and tests submitted to the District shall be calculated and reported at standard conditions. Such results shall contain sample calculations that verify standard conditions.</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f.</w:t>
      </w:r>
      <w:r>
        <w:tab/>
        <w:t>An applicant seeking an exemption provided for in any rule or regulation of the District must supply the Control Officer with all information necessary, including applicable emission calculation sheets, to determine whether such an exemption applies.</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g.</w:t>
      </w:r>
      <w:r>
        <w:tab/>
        <w:t xml:space="preserve">Where offsets are required and the applicant proposes to obtain them from the Source Register, the applicant shall obtain them prior to Authority to Construct approval in accordance with Regulation VIII and Section E.5 of this </w:t>
      </w:r>
      <w:r w:rsidR="00CF6FBC">
        <w:t>r</w:t>
      </w:r>
      <w:r>
        <w:t>ule.</w:t>
      </w:r>
    </w:p>
    <w:p w:rsidR="00AB6D88" w:rsidRDefault="00AB6D88">
      <w:pPr>
        <w:tabs>
          <w:tab w:val="left" w:pos="-720"/>
        </w:tabs>
        <w:suppressAutoHyphens/>
      </w:pPr>
    </w:p>
    <w:p w:rsidR="00AB6D88" w:rsidRPr="00AE4FA2" w:rsidRDefault="00AB6D88">
      <w:pPr>
        <w:tabs>
          <w:tab w:val="left" w:pos="-720"/>
          <w:tab w:val="left" w:pos="0"/>
          <w:tab w:val="left" w:pos="720"/>
        </w:tabs>
        <w:suppressAutoHyphens/>
        <w:ind w:left="1440" w:hanging="1440"/>
        <w:rPr>
          <w:b/>
        </w:rPr>
      </w:pPr>
      <w:r w:rsidRPr="00AE4FA2">
        <w:rPr>
          <w:b/>
        </w:rPr>
        <w:tab/>
        <w:t>2.</w:t>
      </w:r>
      <w:r w:rsidRPr="00AE4FA2">
        <w:rPr>
          <w:b/>
        </w:rPr>
        <w:tab/>
        <w:t xml:space="preserve">Information Required </w:t>
      </w:r>
      <w:r w:rsidR="00CF6FBC">
        <w:rPr>
          <w:b/>
        </w:rPr>
        <w:t>–</w:t>
      </w:r>
      <w:r w:rsidRPr="00AE4FA2">
        <w:rPr>
          <w:b/>
        </w:rPr>
        <w:t xml:space="preserve"> Applications</w:t>
      </w:r>
    </w:p>
    <w:p w:rsidR="00AB6D88" w:rsidRDefault="00AB6D88">
      <w:pPr>
        <w:tabs>
          <w:tab w:val="left" w:pos="-720"/>
        </w:tabs>
        <w:suppressAutoHyphens/>
      </w:pPr>
    </w:p>
    <w:p w:rsidR="00AB6D88" w:rsidRDefault="00AB6D88">
      <w:pPr>
        <w:tabs>
          <w:tab w:val="left" w:pos="-720"/>
          <w:tab w:val="left" w:pos="0"/>
          <w:tab w:val="left" w:pos="720"/>
        </w:tabs>
        <w:suppressAutoHyphens/>
        <w:ind w:left="1440" w:hanging="1440"/>
      </w:pPr>
      <w:r>
        <w:tab/>
      </w:r>
      <w:r>
        <w:tab/>
        <w:t>All applications for an Authority to Construct shall be accompanied by information sufficient to make a completeness determination. The Control Officer shall maintain a list(s) pursuant to Government Code Section 65940 specifying information required of an applicant for a permit. The District will provide the applicant with one or more lists which specify in detail the information required and will indicate the criteria which the District will apply in order to determine application completeness.</w:t>
      </w:r>
    </w:p>
    <w:p w:rsidR="00AB6D88" w:rsidRDefault="00AB6D88">
      <w:pPr>
        <w:tabs>
          <w:tab w:val="left" w:pos="-720"/>
        </w:tabs>
        <w:suppressAutoHyphens/>
      </w:pPr>
    </w:p>
    <w:p w:rsidR="00AB6D88" w:rsidRPr="00AE4FA2" w:rsidRDefault="00AB6D88">
      <w:pPr>
        <w:tabs>
          <w:tab w:val="left" w:pos="-720"/>
          <w:tab w:val="left" w:pos="0"/>
          <w:tab w:val="left" w:pos="720"/>
        </w:tabs>
        <w:suppressAutoHyphens/>
        <w:ind w:left="1440" w:hanging="1440"/>
        <w:rPr>
          <w:b/>
        </w:rPr>
      </w:pPr>
      <w:r w:rsidRPr="00AE4FA2">
        <w:rPr>
          <w:b/>
        </w:rPr>
        <w:tab/>
        <w:t>3.</w:t>
      </w:r>
      <w:r w:rsidRPr="00AE4FA2">
        <w:rPr>
          <w:b/>
        </w:rPr>
        <w:tab/>
        <w:t xml:space="preserve">Information Required </w:t>
      </w:r>
      <w:r w:rsidR="00CF6FBC">
        <w:rPr>
          <w:b/>
        </w:rPr>
        <w:t>–</w:t>
      </w:r>
      <w:r w:rsidRPr="00AE4FA2">
        <w:rPr>
          <w:b/>
        </w:rPr>
        <w:t xml:space="preserve"> Best Available Control Technology </w:t>
      </w:r>
    </w:p>
    <w:p w:rsidR="00AB6D88" w:rsidRDefault="00AB6D88">
      <w:pPr>
        <w:tabs>
          <w:tab w:val="left" w:pos="-720"/>
        </w:tabs>
        <w:suppressAutoHyphens/>
      </w:pPr>
    </w:p>
    <w:p w:rsidR="00AB6D88" w:rsidRDefault="00AB6D88">
      <w:pPr>
        <w:tabs>
          <w:tab w:val="left" w:pos="-720"/>
          <w:tab w:val="left" w:pos="0"/>
          <w:tab w:val="left" w:pos="720"/>
        </w:tabs>
        <w:suppressAutoHyphens/>
        <w:ind w:left="1440" w:hanging="1440"/>
      </w:pPr>
      <w:r>
        <w:tab/>
      </w:r>
      <w:r>
        <w:tab/>
        <w:t>All applicants for an Authority to Construct which require Best Available Control Technology shall submit the following:</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a.</w:t>
      </w:r>
      <w:r>
        <w:tab/>
        <w:t xml:space="preserve">Best Available Control Technology </w:t>
      </w:r>
      <w:r w:rsidR="003B4CD5">
        <w:t>–</w:t>
      </w:r>
      <w:r>
        <w:t xml:space="preserve"> Nonattainment Review</w:t>
      </w:r>
    </w:p>
    <w:p w:rsidR="00AB6D88" w:rsidRDefault="00AB6D88">
      <w:pPr>
        <w:tabs>
          <w:tab w:val="left" w:pos="-720"/>
          <w:tab w:val="left" w:pos="0"/>
        </w:tabs>
        <w:suppressAutoHyphens/>
        <w:ind w:left="720" w:hanging="720"/>
      </w:pPr>
      <w:r>
        <w:tab/>
      </w:r>
    </w:p>
    <w:p w:rsidR="00AB6D88" w:rsidRDefault="00AB6D88">
      <w:pPr>
        <w:tabs>
          <w:tab w:val="left" w:pos="-720"/>
          <w:tab w:val="left" w:pos="0"/>
          <w:tab w:val="left" w:pos="720"/>
          <w:tab w:val="left" w:pos="1440"/>
          <w:tab w:val="left" w:pos="2160"/>
        </w:tabs>
        <w:suppressAutoHyphens/>
        <w:ind w:left="2880" w:hanging="2880"/>
      </w:pPr>
      <w:r>
        <w:tab/>
      </w:r>
      <w:r>
        <w:tab/>
      </w:r>
      <w:r>
        <w:tab/>
        <w:t>1)</w:t>
      </w:r>
      <w:r>
        <w:tab/>
        <w:t xml:space="preserve">Individual Best Available Control Technology determinations pursuant to Rule 802, New Source Review, must address air pollution controls for each pollutant subject to review at a stationary source. It is the applicant's responsibility to submit a Best Available Control Technology proposal for evaluation by the District. </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2)</w:t>
      </w:r>
      <w:r>
        <w:tab/>
        <w:t>Justification of selected control technology as Best Available Control Technology.</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3)</w:t>
      </w:r>
      <w:r>
        <w:tab/>
        <w:t>Documentation of technical infeasibility which would preclude the use of a more effective control technology</w:t>
      </w:r>
      <w:r w:rsidR="005D3EDE">
        <w:t>.</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4)</w:t>
      </w:r>
      <w:r>
        <w:tab/>
        <w:t>Operating conditions at which the maximum daily and hourly emissions will be generated (baseline parameters).</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5)</w:t>
      </w:r>
      <w:r>
        <w:tab/>
        <w:t>Maximum daily and hourly emissions at the conditions, described in (4) above, for each potential control technology and the basis of how the emission rates were estimated.</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lastRenderedPageBreak/>
        <w:tab/>
      </w:r>
      <w:r>
        <w:tab/>
      </w:r>
      <w:r>
        <w:tab/>
        <w:t>6)</w:t>
      </w:r>
      <w:r>
        <w:tab/>
        <w:t>Calculations, emission data, and/or other information to determine control effectiveness (percent pollutant removed) of each potential control technology.</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7)</w:t>
      </w:r>
      <w:r>
        <w:tab/>
        <w:t xml:space="preserve">Emission limits shall be expressed both in terms of an emissions cap (e.g. pounds per day) and in terms which ensure compliance at any operating capacity (e.g., pounds per million British thermal units, or parts per million by volume). Where appropriate, on a case-by-case basis, emission limits may be expressed in alternate terms for determining compliance with the Best Available Control Technology </w:t>
      </w:r>
      <w:r w:rsidR="00B77E4B">
        <w:t>s</w:t>
      </w:r>
      <w:r>
        <w:t>tandards. The source must comply with both limits to demonstrate compliance.</w:t>
      </w:r>
    </w:p>
    <w:p w:rsidR="00AB6D88" w:rsidRDefault="00AB6D88">
      <w:pPr>
        <w:tabs>
          <w:tab w:val="left" w:pos="-720"/>
          <w:tab w:val="left" w:pos="0"/>
          <w:tab w:val="left" w:pos="720"/>
          <w:tab w:val="left" w:pos="1440"/>
        </w:tabs>
        <w:suppressAutoHyphens/>
        <w:ind w:left="2160" w:hanging="2160"/>
      </w:pPr>
      <w:r>
        <w:tab/>
      </w:r>
      <w:r>
        <w:tab/>
      </w:r>
      <w:r>
        <w:tab/>
      </w:r>
    </w:p>
    <w:p w:rsidR="00AB6D88" w:rsidRDefault="00AB6D88">
      <w:pPr>
        <w:tabs>
          <w:tab w:val="left" w:pos="-720"/>
          <w:tab w:val="left" w:pos="0"/>
          <w:tab w:val="left" w:pos="720"/>
          <w:tab w:val="left" w:pos="1440"/>
          <w:tab w:val="left" w:pos="2160"/>
        </w:tabs>
        <w:suppressAutoHyphens/>
        <w:ind w:left="2880" w:hanging="2880"/>
      </w:pPr>
      <w:r>
        <w:tab/>
      </w:r>
      <w:r>
        <w:tab/>
      </w:r>
      <w:r>
        <w:tab/>
        <w:t>8)</w:t>
      </w:r>
      <w:r>
        <w:tab/>
        <w:t>Applicants shall describe how the selected Best Available Control Technology is to be monitored for its emission reduction effectiveness.</w:t>
      </w:r>
    </w:p>
    <w:p w:rsidR="00AB6D88" w:rsidRDefault="00AB6D88">
      <w:pPr>
        <w:tabs>
          <w:tab w:val="left" w:pos="-720"/>
          <w:tab w:val="left" w:pos="0"/>
          <w:tab w:val="left" w:pos="720"/>
          <w:tab w:val="left" w:pos="1440"/>
        </w:tabs>
        <w:suppressAutoHyphens/>
        <w:ind w:left="2160" w:hanging="2160"/>
      </w:pPr>
      <w:r>
        <w:tab/>
      </w:r>
      <w:r>
        <w:tab/>
      </w:r>
      <w:r>
        <w:tab/>
      </w:r>
    </w:p>
    <w:p w:rsidR="00AB6D88" w:rsidRDefault="00AB6D88">
      <w:pPr>
        <w:tabs>
          <w:tab w:val="left" w:pos="-720"/>
          <w:tab w:val="left" w:pos="0"/>
          <w:tab w:val="left" w:pos="720"/>
          <w:tab w:val="left" w:pos="1440"/>
        </w:tabs>
        <w:suppressAutoHyphens/>
        <w:ind w:left="2160" w:hanging="2160"/>
      </w:pPr>
      <w:r>
        <w:tab/>
      </w:r>
      <w:r>
        <w:tab/>
        <w:t>b.</w:t>
      </w:r>
      <w:r>
        <w:tab/>
        <w:t xml:space="preserve">Best Available Control Technology Information </w:t>
      </w:r>
      <w:r w:rsidR="003B4CD5">
        <w:t>–</w:t>
      </w:r>
      <w:r>
        <w:t xml:space="preserve"> Prevention of Significant Deterioration Requirements</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r>
      <w:r>
        <w:tab/>
        <w:t>In addition to the requirements of Section E.3.</w:t>
      </w:r>
      <w:proofErr w:type="spellStart"/>
      <w:r>
        <w:t>a</w:t>
      </w:r>
      <w:proofErr w:type="spellEnd"/>
      <w:r w:rsidR="001746B5">
        <w:t xml:space="preserve"> of this r</w:t>
      </w:r>
      <w:r>
        <w:t>ule, sources which trigger an attainment pollutant Best Available Control Technology requirement pursuant to Rule 802, New Source Review, shall submit the following information. The District shall consider technical feasibility and energy, environmental (cross-media) and economic impacts in evaluating an applicant's Best Available Control Technology proposal:</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1)</w:t>
      </w:r>
      <w:r>
        <w:tab/>
        <w:t>A comprehensive list of potential control technologies</w:t>
      </w:r>
      <w:r w:rsidR="005D3EDE">
        <w:t>.</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2)</w:t>
      </w:r>
      <w:r>
        <w:tab/>
        <w:t>A ranking of potential control technologies by control effectiveness (percent pollutant removed) in accordance with the Environmental Protection Agency's Top-Down procedure</w:t>
      </w:r>
      <w:r w:rsidR="005D3EDE">
        <w:t>.</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3)</w:t>
      </w:r>
      <w:r>
        <w:tab/>
        <w:t>Itemized capital cost, including installation and/or modification cost for each proposed control technology</w:t>
      </w:r>
      <w:r w:rsidR="005D3EDE">
        <w:t>.</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4)</w:t>
      </w:r>
      <w:r>
        <w:tab/>
        <w:t>Itemized annual operating cost, including fuel cost for each proposed control technology</w:t>
      </w:r>
      <w:r w:rsidR="005D3EDE">
        <w:t>.</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5)</w:t>
      </w:r>
      <w:r>
        <w:tab/>
        <w:t>Energy impacts of each proposed control technology (British thermal units, kilowatt hours)</w:t>
      </w:r>
      <w:r w:rsidR="005D3EDE">
        <w:t>.</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6)</w:t>
      </w:r>
      <w:r>
        <w:tab/>
        <w:t>Estimated equipment life and its salvage value.</w:t>
      </w:r>
    </w:p>
    <w:p w:rsidR="00AB6D88" w:rsidRDefault="00AB6D88">
      <w:pPr>
        <w:tabs>
          <w:tab w:val="left" w:pos="-720"/>
          <w:tab w:val="left" w:pos="0"/>
          <w:tab w:val="left" w:pos="720"/>
          <w:tab w:val="left" w:pos="1440"/>
          <w:tab w:val="left" w:pos="2160"/>
          <w:tab w:val="left" w:pos="2880"/>
        </w:tabs>
        <w:suppressAutoHyphens/>
        <w:ind w:left="3600" w:hanging="3600"/>
      </w:pPr>
      <w:r>
        <w:tab/>
      </w:r>
      <w:r>
        <w:tab/>
      </w:r>
      <w:r>
        <w:tab/>
      </w:r>
      <w:r>
        <w:tab/>
      </w:r>
      <w:r>
        <w:tab/>
      </w:r>
    </w:p>
    <w:p w:rsidR="00AB6D88" w:rsidRPr="00AE4FA2" w:rsidRDefault="00AB6D88">
      <w:pPr>
        <w:tabs>
          <w:tab w:val="left" w:pos="-720"/>
          <w:tab w:val="left" w:pos="0"/>
          <w:tab w:val="left" w:pos="720"/>
        </w:tabs>
        <w:suppressAutoHyphens/>
        <w:ind w:left="1440" w:hanging="1440"/>
        <w:rPr>
          <w:b/>
        </w:rPr>
      </w:pPr>
      <w:r w:rsidRPr="00AE4FA2">
        <w:rPr>
          <w:b/>
        </w:rPr>
        <w:tab/>
        <w:t>4.</w:t>
      </w:r>
      <w:r w:rsidRPr="00AE4FA2">
        <w:rPr>
          <w:b/>
        </w:rPr>
        <w:tab/>
        <w:t xml:space="preserve">Information Required </w:t>
      </w:r>
      <w:r w:rsidR="00CF6FBC">
        <w:rPr>
          <w:b/>
        </w:rPr>
        <w:t>–</w:t>
      </w:r>
      <w:r w:rsidRPr="00AE4FA2">
        <w:rPr>
          <w:b/>
        </w:rPr>
        <w:t xml:space="preserve"> Air Quality Impact Analysis</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a.</w:t>
      </w:r>
      <w:r>
        <w:tab/>
        <w:t>All applicants for an Authority to Construct new or modified sources which require an Air Quality Impact Analysis shall submit the following:</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1)</w:t>
      </w:r>
      <w:r>
        <w:tab/>
        <w:t>A description of any monitoring stations that may be installed by applicant.</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2)</w:t>
      </w:r>
      <w:r>
        <w:tab/>
        <w:t>Sufficient data, approved by the Control Officer consistent with the Air Quality and Meteorological Monitoring Protocol for Santa Barbara County, California, to perform an air quality impact analysis from all emission release points including fugitive emissions. The data shall include:</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 w:val="left" w:pos="2880"/>
        </w:tabs>
        <w:suppressAutoHyphens/>
        <w:ind w:left="3600" w:hanging="3600"/>
      </w:pPr>
      <w:r>
        <w:tab/>
      </w:r>
      <w:r>
        <w:tab/>
      </w:r>
      <w:r>
        <w:tab/>
      </w:r>
      <w:r>
        <w:tab/>
        <w:t>a)</w:t>
      </w:r>
      <w:r>
        <w:tab/>
        <w:t>At least one full calendar year (twelve consecutive months) of meteorological data consistent with Appendix W of 40 CFR 51 Guideline on Air Quality Models.</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 w:val="left" w:pos="2880"/>
        </w:tabs>
        <w:suppressAutoHyphens/>
        <w:ind w:left="3600" w:hanging="3600"/>
      </w:pPr>
      <w:r>
        <w:lastRenderedPageBreak/>
        <w:tab/>
      </w:r>
      <w:r>
        <w:tab/>
      </w:r>
      <w:r>
        <w:tab/>
      </w:r>
      <w:r>
        <w:tab/>
        <w:t>b)</w:t>
      </w:r>
      <w:r>
        <w:tab/>
        <w:t>Topographical data including receptor points by Universal Transverse Mercator coordinates and map of receptor points and source.</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 w:val="left" w:pos="2880"/>
        </w:tabs>
        <w:suppressAutoHyphens/>
        <w:ind w:left="3600" w:hanging="3600"/>
      </w:pPr>
      <w:r>
        <w:tab/>
      </w:r>
      <w:r>
        <w:tab/>
      </w:r>
      <w:r>
        <w:tab/>
      </w:r>
      <w:r>
        <w:tab/>
        <w:t>c)</w:t>
      </w:r>
      <w:r>
        <w:tab/>
        <w:t>At least one full calendar year (twelve consecutive months) of recent air quality background data from the last 3 years prior to application completeness.</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 w:val="left" w:pos="2880"/>
        </w:tabs>
        <w:suppressAutoHyphens/>
        <w:ind w:left="3600" w:hanging="3600"/>
      </w:pPr>
      <w:r>
        <w:tab/>
      </w:r>
      <w:r>
        <w:tab/>
      </w:r>
      <w:r>
        <w:tab/>
      </w:r>
      <w:r>
        <w:tab/>
        <w:t>d)</w:t>
      </w:r>
      <w:r>
        <w:tab/>
        <w:t>Computer modeling data:</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(1)</w:t>
      </w:r>
      <w:r>
        <w:tab/>
        <w:t>Mass emission rate and stack concentration of air pollutants.</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(2)</w:t>
      </w:r>
      <w:r>
        <w:tab/>
        <w:t>Stack diameter.</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(3)</w:t>
      </w:r>
      <w:r>
        <w:tab/>
        <w:t>Stack location in Universal Transverse Mercator coordinates.</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(4)</w:t>
      </w:r>
      <w:r>
        <w:tab/>
        <w:t>Stack height above ground level.</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(5)</w:t>
      </w:r>
      <w:r>
        <w:tab/>
        <w:t>Exhaust temperature.</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(6)</w:t>
      </w:r>
      <w:r>
        <w:tab/>
        <w:t>Exhaust velocity.</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(7)</w:t>
      </w:r>
      <w:r>
        <w:tab/>
        <w:t>Exhaust flow rate (volumetric).</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(8)</w:t>
      </w:r>
      <w:r>
        <w:tab/>
        <w:t>Buildings whose wakes may affect the plume of the stack, including Universal Transverse Mercator coordinates of building.</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(9)</w:t>
      </w:r>
      <w:r>
        <w:tab/>
        <w:t>Dimensions (length, width, height) of the buildings identified above.</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(10)</w:t>
      </w:r>
      <w:r>
        <w:tab/>
        <w:t>Maximum modeled concentration of air pollutants for all averaging times of concern and all applicable receptors of concern.</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(11)</w:t>
      </w:r>
      <w:r>
        <w:tab/>
        <w:t>Model used to perform air quality impact analysis.</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(12)</w:t>
      </w:r>
      <w:r>
        <w:tab/>
        <w:t>Model input and output files on computer diskette and hardcopy.</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(13)</w:t>
      </w:r>
      <w:r>
        <w:tab/>
        <w:t>Name, address, telephone number, and qualifications of company and/or person who performed air quality impact analysis.</w:t>
      </w:r>
    </w:p>
    <w:p w:rsidR="00AB6D88" w:rsidRDefault="00AB6D88">
      <w:pPr>
        <w:tabs>
          <w:tab w:val="left" w:pos="-720"/>
          <w:tab w:val="left" w:pos="0"/>
          <w:tab w:val="left" w:pos="720"/>
          <w:tab w:val="left" w:pos="1440"/>
          <w:tab w:val="left" w:pos="2160"/>
          <w:tab w:val="left" w:pos="2880"/>
          <w:tab w:val="left" w:pos="3600"/>
        </w:tabs>
        <w:suppressAutoHyphens/>
        <w:ind w:left="4320" w:hanging="4320"/>
      </w:pPr>
      <w:r>
        <w:tab/>
      </w:r>
      <w:r>
        <w:tab/>
      </w:r>
      <w:r>
        <w:tab/>
      </w:r>
      <w:r>
        <w:tab/>
      </w:r>
      <w:r>
        <w:tab/>
        <w:t>(14)</w:t>
      </w:r>
      <w:r>
        <w:tab/>
        <w:t>Terrain description and effects.</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3)</w:t>
      </w:r>
      <w:r>
        <w:tab/>
        <w:t>Identify all facilities within the air basin that are owned or operated by the applicant and the compliance status of each.</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4)</w:t>
      </w:r>
      <w:r>
        <w:tab/>
        <w:t>Power Consumption of Facility (for PSD permits only)</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 w:val="left" w:pos="2880"/>
        </w:tabs>
        <w:suppressAutoHyphens/>
        <w:ind w:left="3600" w:hanging="3600"/>
      </w:pPr>
      <w:r>
        <w:tab/>
      </w:r>
      <w:r>
        <w:tab/>
      </w:r>
      <w:r>
        <w:tab/>
      </w:r>
      <w:r>
        <w:tab/>
        <w:t>a)</w:t>
      </w:r>
      <w:r>
        <w:tab/>
        <w:t>Total amount of electrical power to be consumed by the new facility or the increase in the amount of electrical power to be consumed due to the modification.</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 w:val="left" w:pos="2880"/>
        </w:tabs>
        <w:suppressAutoHyphens/>
        <w:ind w:left="3600" w:hanging="3600"/>
      </w:pPr>
      <w:r>
        <w:tab/>
      </w:r>
      <w:r>
        <w:tab/>
      </w:r>
      <w:r>
        <w:tab/>
      </w:r>
      <w:r>
        <w:tab/>
        <w:t>b)</w:t>
      </w:r>
      <w:r>
        <w:tab/>
        <w:t>Percentage of electrical power provided by off</w:t>
      </w:r>
      <w:r>
        <w:noBreakHyphen/>
        <w:t>site generating facilities; identify the source of power.</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5)</w:t>
      </w:r>
      <w:r>
        <w:tab/>
        <w:t>Cargo Carriers</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r>
      <w:r>
        <w:tab/>
        <w:t>List the frequency of visits, describe types and sizes of all cargo carriers (other than motor vehicles), identify nature of cargo, and conditions under which the cargo is transferred.</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6)</w:t>
      </w:r>
      <w:r>
        <w:tab/>
        <w:t>For major stationary sources, provide an analysis of alternative sites, sizes, production processes, and environmental control techniques for the proposed source that compares the benefits of the proposed source to its environmental and social costs.</w:t>
      </w:r>
    </w:p>
    <w:p w:rsidR="00AB6D88" w:rsidRDefault="00AB6D88">
      <w:pPr>
        <w:tabs>
          <w:tab w:val="left" w:pos="-720"/>
        </w:tabs>
        <w:suppressAutoHyphens/>
      </w:pPr>
    </w:p>
    <w:p w:rsidR="00AB6D88" w:rsidRPr="00AE4FA2" w:rsidRDefault="00AB6D88" w:rsidP="00AB6D88">
      <w:pPr>
        <w:keepNext/>
        <w:tabs>
          <w:tab w:val="left" w:pos="-720"/>
          <w:tab w:val="left" w:pos="0"/>
          <w:tab w:val="left" w:pos="720"/>
        </w:tabs>
        <w:suppressAutoHyphens/>
        <w:ind w:left="1440" w:hanging="1440"/>
        <w:rPr>
          <w:b/>
        </w:rPr>
      </w:pPr>
      <w:r w:rsidRPr="00AE4FA2">
        <w:rPr>
          <w:b/>
        </w:rPr>
        <w:lastRenderedPageBreak/>
        <w:tab/>
        <w:t>5.</w:t>
      </w:r>
      <w:r w:rsidRPr="00AE4FA2">
        <w:rPr>
          <w:b/>
        </w:rPr>
        <w:tab/>
        <w:t xml:space="preserve">Information Required </w:t>
      </w:r>
      <w:r w:rsidR="00CF6FBC">
        <w:rPr>
          <w:b/>
        </w:rPr>
        <w:t>–</w:t>
      </w:r>
      <w:r w:rsidRPr="00AE4FA2">
        <w:rPr>
          <w:b/>
        </w:rPr>
        <w:t xml:space="preserve"> Description of Emission Reduction Credits to be </w:t>
      </w:r>
      <w:r w:rsidR="00CF6FBC">
        <w:rPr>
          <w:b/>
        </w:rPr>
        <w:t>u</w:t>
      </w:r>
      <w:r w:rsidRPr="00AE4FA2">
        <w:rPr>
          <w:b/>
        </w:rPr>
        <w:t>sed as Offsets</w:t>
      </w:r>
    </w:p>
    <w:p w:rsidR="00AB6D88" w:rsidRDefault="00AB6D88" w:rsidP="00AB6D88">
      <w:pPr>
        <w:keepNext/>
        <w:tabs>
          <w:tab w:val="left" w:pos="-720"/>
          <w:tab w:val="left" w:pos="0"/>
          <w:tab w:val="left" w:pos="720"/>
        </w:tabs>
        <w:suppressAutoHyphens/>
        <w:ind w:left="1440" w:hanging="1440"/>
      </w:pPr>
      <w:r>
        <w:tab/>
      </w:r>
      <w:r>
        <w:tab/>
      </w:r>
    </w:p>
    <w:p w:rsidR="00AB6D88" w:rsidRDefault="00AB6D88" w:rsidP="00AB6D88">
      <w:pPr>
        <w:keepNext/>
        <w:tabs>
          <w:tab w:val="left" w:pos="-720"/>
          <w:tab w:val="left" w:pos="0"/>
          <w:tab w:val="left" w:pos="720"/>
        </w:tabs>
        <w:suppressAutoHyphens/>
        <w:ind w:left="1440" w:hanging="1440"/>
      </w:pPr>
      <w:r>
        <w:tab/>
      </w:r>
      <w:r>
        <w:tab/>
        <w:t>If offsets are required for the project, then information sufficient to determine the adequacy of Emission Reduction Credits must be submitted before an Authority to Construct application will be deemed complete. In addition, Emission Reduction Credits proposed for use must be documented in the following ways:</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a.</w:t>
      </w:r>
      <w:r>
        <w:tab/>
        <w:t>If a source is proposed as an offset, the date of issue and number of the existing Permit to Operate and the complete application for the Emission Reduction Credits.</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b.</w:t>
      </w:r>
      <w:r>
        <w:tab/>
        <w:t>If the Emission Reduction Credits proposed for use have been registered by the District, the Emission Reduction Credit certificates identifying numbers and date of issue shall be included in the Authority to Construct application. Pursuant to Health and Safety Code Section 40709.5(e), the applicant shall specify the year in which the applicant obtained the Emission Reduction Credit, price paid per ton per pollutant, and the total cost per pollutant.</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c.</w:t>
      </w:r>
      <w:r>
        <w:tab/>
        <w:t>If the Emission Reduction Credits proposed for use are not owned by the applicant, a letter from the owner of the Emission Reduction Credit certificates stating that the Emission Reduction Credits will be available at least two weeks before the Authority to Construct is issued. Alternatively, an applicant may provide a copy of the contract to obtain Emission Reduction Credits that is signed by the Emission Reduction Credit provider and by the applicant and which names the District as a third party beneficiary. Pursuant to Health and Safety Code Section 40709.5(e), the applicant shall specify the year in which the applicant obtained the Emission Reduction Credit, the price paid per ton per pollutant, and the total cost per pollutant.</w:t>
      </w:r>
    </w:p>
    <w:p w:rsidR="00AB6D88" w:rsidRDefault="00AB6D88">
      <w:pPr>
        <w:tabs>
          <w:tab w:val="left" w:pos="-720"/>
        </w:tabs>
        <w:suppressAutoHyphens/>
      </w:pPr>
    </w:p>
    <w:p w:rsidR="00AB6D88" w:rsidRDefault="00AB6D88">
      <w:pPr>
        <w:keepNext/>
        <w:keepLines/>
        <w:tabs>
          <w:tab w:val="left" w:pos="-720"/>
          <w:tab w:val="left" w:pos="0"/>
          <w:tab w:val="left" w:pos="720"/>
          <w:tab w:val="left" w:pos="1440"/>
        </w:tabs>
        <w:suppressAutoHyphens/>
        <w:ind w:left="2160" w:hanging="2160"/>
      </w:pPr>
      <w:r>
        <w:tab/>
      </w:r>
      <w:r>
        <w:tab/>
        <w:t>d.</w:t>
      </w:r>
      <w:r>
        <w:tab/>
        <w:t>List proposed mitigating measures:</w:t>
      </w:r>
    </w:p>
    <w:p w:rsidR="00AB6D88" w:rsidRDefault="00AB6D88">
      <w:pPr>
        <w:keepNext/>
        <w:keepLines/>
        <w:tabs>
          <w:tab w:val="left" w:pos="-720"/>
        </w:tabs>
        <w:suppressAutoHyphens/>
      </w:pPr>
    </w:p>
    <w:p w:rsidR="00AB6D88" w:rsidRDefault="00AB6D88">
      <w:pPr>
        <w:keepNext/>
        <w:keepLines/>
        <w:tabs>
          <w:tab w:val="left" w:pos="-720"/>
          <w:tab w:val="left" w:pos="0"/>
          <w:tab w:val="left" w:pos="720"/>
          <w:tab w:val="left" w:pos="1440"/>
          <w:tab w:val="left" w:pos="2160"/>
        </w:tabs>
        <w:suppressAutoHyphens/>
        <w:ind w:left="2880" w:hanging="2880"/>
      </w:pPr>
      <w:r>
        <w:tab/>
      </w:r>
      <w:r>
        <w:tab/>
      </w:r>
      <w:r>
        <w:tab/>
        <w:t>1)</w:t>
      </w:r>
      <w:r>
        <w:tab/>
        <w:t>Air pollution control equipment proposed.</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2)</w:t>
      </w:r>
      <w:r>
        <w:tab/>
        <w:t>Process changes or operations utilized to reduce emissions.</w:t>
      </w:r>
    </w:p>
    <w:p w:rsidR="00AB6D88" w:rsidRDefault="00AB6D88">
      <w:pPr>
        <w:tabs>
          <w:tab w:val="left" w:pos="-720"/>
        </w:tabs>
        <w:suppressAutoHyphens/>
      </w:pPr>
    </w:p>
    <w:p w:rsidR="00AB6D88" w:rsidRDefault="00AB6D88">
      <w:pPr>
        <w:tabs>
          <w:tab w:val="left" w:pos="-720"/>
          <w:tab w:val="left" w:pos="0"/>
          <w:tab w:val="left" w:pos="720"/>
          <w:tab w:val="left" w:pos="1440"/>
          <w:tab w:val="left" w:pos="2160"/>
        </w:tabs>
        <w:suppressAutoHyphens/>
        <w:ind w:left="2880" w:hanging="2880"/>
      </w:pPr>
      <w:r>
        <w:tab/>
      </w:r>
      <w:r>
        <w:tab/>
      </w:r>
      <w:r>
        <w:tab/>
        <w:t>3)</w:t>
      </w:r>
      <w:r>
        <w:tab/>
        <w:t>Other.</w:t>
      </w:r>
    </w:p>
    <w:p w:rsidR="00AB6D88" w:rsidRDefault="00AB6D88">
      <w:pPr>
        <w:keepNext/>
        <w:keepLines/>
        <w:tabs>
          <w:tab w:val="left" w:pos="-720"/>
        </w:tabs>
        <w:suppressAutoHyphens/>
      </w:pPr>
    </w:p>
    <w:p w:rsidR="00AB6D88" w:rsidRDefault="00AB6D88">
      <w:pPr>
        <w:keepNext/>
        <w:keepLines/>
        <w:tabs>
          <w:tab w:val="left" w:pos="-720"/>
          <w:tab w:val="left" w:pos="0"/>
          <w:tab w:val="left" w:pos="720"/>
          <w:tab w:val="left" w:pos="1440"/>
        </w:tabs>
        <w:suppressAutoHyphens/>
        <w:ind w:left="2160" w:hanging="2160"/>
      </w:pPr>
      <w:r>
        <w:tab/>
      </w:r>
      <w:r>
        <w:tab/>
        <w:t>e.</w:t>
      </w:r>
      <w:r>
        <w:tab/>
        <w:t>Identify any air quality impacts from any precursor</w:t>
      </w:r>
      <w:r>
        <w:noBreakHyphen/>
        <w:t>secondary pollutant relationships.</w:t>
      </w:r>
    </w:p>
    <w:p w:rsidR="00AB6D88" w:rsidRDefault="00AB6D88">
      <w:pPr>
        <w:keepNext/>
        <w:keepLines/>
        <w:tabs>
          <w:tab w:val="left" w:pos="-720"/>
        </w:tabs>
        <w:suppressAutoHyphens/>
      </w:pPr>
    </w:p>
    <w:p w:rsidR="00AB6D88" w:rsidRPr="00AE4FA2" w:rsidRDefault="00AB6D88">
      <w:pPr>
        <w:keepNext/>
        <w:keepLines/>
        <w:tabs>
          <w:tab w:val="left" w:pos="-720"/>
          <w:tab w:val="left" w:pos="0"/>
          <w:tab w:val="left" w:pos="720"/>
        </w:tabs>
        <w:suppressAutoHyphens/>
        <w:ind w:left="1440" w:hanging="1440"/>
        <w:rPr>
          <w:b/>
        </w:rPr>
      </w:pPr>
      <w:r w:rsidRPr="00AE4FA2">
        <w:rPr>
          <w:b/>
        </w:rPr>
        <w:tab/>
        <w:t>6.</w:t>
      </w:r>
      <w:r w:rsidRPr="00AE4FA2">
        <w:rPr>
          <w:b/>
        </w:rPr>
        <w:tab/>
        <w:t xml:space="preserve">Information Required </w:t>
      </w:r>
      <w:r w:rsidR="00CF6FBC">
        <w:rPr>
          <w:b/>
        </w:rPr>
        <w:t>–</w:t>
      </w:r>
      <w:r w:rsidRPr="00AE4FA2">
        <w:rPr>
          <w:b/>
        </w:rPr>
        <w:t xml:space="preserve"> Health Risk Assessment</w:t>
      </w:r>
    </w:p>
    <w:p w:rsidR="00AB6D88" w:rsidRDefault="00AB6D88">
      <w:pPr>
        <w:keepNext/>
        <w:keepLines/>
        <w:tabs>
          <w:tab w:val="left" w:pos="-720"/>
        </w:tabs>
        <w:suppressAutoHyphens/>
      </w:pPr>
    </w:p>
    <w:p w:rsidR="00AB6D88" w:rsidRDefault="00AB6D88">
      <w:pPr>
        <w:keepNext/>
        <w:keepLines/>
        <w:tabs>
          <w:tab w:val="left" w:pos="-720"/>
          <w:tab w:val="left" w:pos="0"/>
          <w:tab w:val="left" w:pos="720"/>
        </w:tabs>
        <w:suppressAutoHyphens/>
        <w:ind w:left="1440" w:hanging="1440"/>
      </w:pPr>
      <w:r>
        <w:tab/>
      </w:r>
      <w:r>
        <w:tab/>
        <w:t>The Health Risk Assessment shall be consistent with methodology approved by the California Air Pollution Control Officers Association Air Toxics “Hot Spots” Program Revised 1992 Risk Assessment Guidelines, prepared by the Toxics Committee of the California Air Pollution Control Officers Association, October, 1993, or most recent version, and shall address the following:</w:t>
      </w:r>
    </w:p>
    <w:p w:rsidR="00AB6D88" w:rsidRDefault="00AB6D88">
      <w:pPr>
        <w:keepLines/>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a.</w:t>
      </w:r>
      <w:r>
        <w:tab/>
        <w:t>Unit risk factors used in determining lifetime cancer risk.</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b.</w:t>
      </w:r>
      <w:r>
        <w:tab/>
        <w:t>Population characterization (e.g., numbers, location, sensitive receptors).</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c.</w:t>
      </w:r>
      <w:r>
        <w:tab/>
        <w:t>Exposure assessment (e.g., working hours, family relocation).</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d.</w:t>
      </w:r>
      <w:r>
        <w:tab/>
        <w:t>Risk estimates for all parameters of concern, including multi</w:t>
      </w:r>
      <w:r>
        <w:noBreakHyphen/>
        <w:t>pathway analysis.</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e.</w:t>
      </w:r>
      <w:r>
        <w:tab/>
        <w:t>Analysis of potential health effects of non</w:t>
      </w:r>
      <w:r>
        <w:noBreakHyphen/>
        <w:t>carcinogenic air pollutants.</w:t>
      </w:r>
    </w:p>
    <w:p w:rsidR="00AB6D88" w:rsidRDefault="00AB6D88">
      <w:pPr>
        <w:tabs>
          <w:tab w:val="left" w:pos="-720"/>
        </w:tabs>
        <w:suppressAutoHyphens/>
      </w:pPr>
    </w:p>
    <w:p w:rsidR="00AB6D88" w:rsidRDefault="00AB6D88" w:rsidP="00AB6D88">
      <w:pPr>
        <w:tabs>
          <w:tab w:val="left" w:pos="-720"/>
          <w:tab w:val="left" w:pos="0"/>
          <w:tab w:val="left" w:pos="720"/>
          <w:tab w:val="left" w:pos="1440"/>
        </w:tabs>
        <w:suppressAutoHyphens/>
        <w:ind w:left="2160" w:hanging="2160"/>
      </w:pPr>
      <w:r>
        <w:lastRenderedPageBreak/>
        <w:tab/>
      </w:r>
      <w:r>
        <w:tab/>
        <w:t>f.</w:t>
      </w:r>
      <w:r>
        <w:tab/>
        <w:t>Map showing the receptor areas of concern drawn to scale with the sensitive receptors clearly marked. All applicants are encouraged to consult with the District staff as to an appropriate distance for health risk assessment.</w:t>
      </w:r>
    </w:p>
    <w:p w:rsidR="00AB6D88" w:rsidRDefault="00AB6D88" w:rsidP="00AB6D88">
      <w:pPr>
        <w:tabs>
          <w:tab w:val="left" w:pos="-720"/>
          <w:tab w:val="left" w:pos="0"/>
          <w:tab w:val="left" w:pos="720"/>
          <w:tab w:val="left" w:pos="1440"/>
        </w:tabs>
        <w:suppressAutoHyphens/>
        <w:ind w:left="2160" w:hanging="2160"/>
      </w:pPr>
    </w:p>
    <w:p w:rsidR="00AB6D88" w:rsidRDefault="00AB6D88">
      <w:pPr>
        <w:tabs>
          <w:tab w:val="left" w:pos="-720"/>
          <w:tab w:val="left" w:pos="0"/>
          <w:tab w:val="left" w:pos="720"/>
          <w:tab w:val="left" w:pos="1440"/>
        </w:tabs>
        <w:suppressAutoHyphens/>
        <w:ind w:left="2160" w:hanging="2160"/>
      </w:pPr>
      <w:r>
        <w:tab/>
      </w:r>
      <w:r>
        <w:tab/>
        <w:t>g.</w:t>
      </w:r>
      <w:r>
        <w:tab/>
        <w:t>Name, address, telephone number, and qualifications of company and/or person who performed health risk assessment.</w:t>
      </w:r>
    </w:p>
    <w:p w:rsidR="00AB6D88" w:rsidRDefault="00AB6D88">
      <w:pPr>
        <w:tabs>
          <w:tab w:val="left" w:pos="-720"/>
        </w:tabs>
        <w:suppressAutoHyphens/>
      </w:pPr>
    </w:p>
    <w:p w:rsidR="00AB6D88" w:rsidRDefault="00AB6D88">
      <w:pPr>
        <w:tabs>
          <w:tab w:val="left" w:pos="-720"/>
          <w:tab w:val="left" w:pos="0"/>
          <w:tab w:val="left" w:pos="720"/>
          <w:tab w:val="left" w:pos="1440"/>
        </w:tabs>
        <w:suppressAutoHyphens/>
        <w:ind w:left="2160" w:hanging="2160"/>
      </w:pPr>
      <w:r>
        <w:tab/>
      </w:r>
      <w:r>
        <w:tab/>
        <w:t>h.</w:t>
      </w:r>
      <w:r>
        <w:tab/>
        <w:t>Input and output computer files.</w:t>
      </w:r>
    </w:p>
    <w:p w:rsidR="00921825" w:rsidRDefault="00921825">
      <w:pPr>
        <w:tabs>
          <w:tab w:val="left" w:pos="-720"/>
        </w:tabs>
        <w:suppressAutoHyphens/>
      </w:pPr>
    </w:p>
    <w:p w:rsidR="00AB6D88" w:rsidRPr="00921825" w:rsidRDefault="00AB6D88" w:rsidP="00921825">
      <w:pPr>
        <w:tabs>
          <w:tab w:val="left" w:pos="3849"/>
        </w:tabs>
        <w:jc w:val="center"/>
      </w:pPr>
    </w:p>
    <w:sectPr w:rsidR="00AB6D88" w:rsidRPr="00921825" w:rsidSect="00AE4FA2">
      <w:headerReference w:type="even" r:id="rId11"/>
      <w:headerReference w:type="default" r:id="rId12"/>
      <w:footerReference w:type="even" r:id="rId13"/>
      <w:footerReference w:type="default" r:id="rId14"/>
      <w:headerReference w:type="first" r:id="rId15"/>
      <w:footerReference w:type="first" r:id="rId16"/>
      <w:footnotePr>
        <w:numFmt w:val="lowerLetter"/>
        <w:numRestart w:val="eachPage"/>
      </w:footnotePr>
      <w:pgSz w:w="12240" w:h="15840" w:code="1"/>
      <w:pgMar w:top="1440" w:right="1440" w:bottom="720" w:left="144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7E6" w:rsidRDefault="004647E6" w:rsidP="00BE759B">
      <w:r>
        <w:separator/>
      </w:r>
    </w:p>
  </w:endnote>
  <w:endnote w:type="continuationSeparator" w:id="0">
    <w:p w:rsidR="004647E6" w:rsidRDefault="004647E6" w:rsidP="00BE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JEJEIA+TimesNew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D7F" w:rsidRDefault="000C4D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825" w:rsidRPr="00AF0B07" w:rsidRDefault="00921825" w:rsidP="00921825">
    <w:pPr>
      <w:tabs>
        <w:tab w:val="left" w:pos="4500"/>
      </w:tabs>
      <w:jc w:val="right"/>
    </w:pPr>
    <w:r w:rsidRPr="00AF0B07">
      <w:tab/>
    </w:r>
    <w:r w:rsidRPr="00AF0B07">
      <w:tab/>
    </w:r>
  </w:p>
  <w:p w:rsidR="00921825" w:rsidRPr="00AF0B07" w:rsidRDefault="00921825" w:rsidP="00921825">
    <w:pPr>
      <w:pStyle w:val="Footer"/>
      <w:tabs>
        <w:tab w:val="left" w:pos="4500"/>
      </w:tabs>
    </w:pPr>
    <w:r w:rsidRPr="00AF0B07">
      <w:t xml:space="preserve">Santa Barbara County APCD Rule 204 </w:t>
    </w:r>
    <w:r w:rsidRPr="00AF0B07">
      <w:tab/>
      <w:t xml:space="preserve">204 - </w:t>
    </w:r>
    <w:r w:rsidRPr="00AF0B07">
      <w:fldChar w:fldCharType="begin"/>
    </w:r>
    <w:r w:rsidRPr="00AF0B07">
      <w:instrText>page \* arabic</w:instrText>
    </w:r>
    <w:r w:rsidRPr="00AF0B07">
      <w:fldChar w:fldCharType="separate"/>
    </w:r>
    <w:r w:rsidR="0063288B">
      <w:rPr>
        <w:noProof/>
      </w:rPr>
      <w:t>6</w:t>
    </w:r>
    <w:r w:rsidRPr="00AF0B07">
      <w:fldChar w:fldCharType="end"/>
    </w:r>
    <w:r w:rsidRPr="00AF0B07">
      <w:t xml:space="preserve"> </w:t>
    </w:r>
    <w:r w:rsidRPr="00AF0B07">
      <w:tab/>
    </w:r>
    <w:r w:rsidR="000C4D7F" w:rsidRPr="000C4D7F">
      <w:t>August 25</w:t>
    </w:r>
    <w:r w:rsidR="00D43E5D" w:rsidRPr="000C4D7F">
      <w:t>,</w:t>
    </w:r>
    <w:r w:rsidR="00AF0B07" w:rsidRPr="000C4D7F">
      <w:t xml:space="preserve"> 2016</w:t>
    </w:r>
  </w:p>
  <w:p w:rsidR="00921825" w:rsidRPr="00AF0B07" w:rsidRDefault="009218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3BF" w:rsidRDefault="006A63BF" w:rsidP="00A0790A">
    <w:pPr>
      <w:pStyle w:val="Footer"/>
      <w:ind w:right="389"/>
      <w:jc w:val="right"/>
    </w:pPr>
    <w:r>
      <w:t xml:space="preserve">Page </w:t>
    </w:r>
    <w:r>
      <w:fldChar w:fldCharType="begin"/>
    </w:r>
    <w:r>
      <w:instrText xml:space="preserve"> PAGE   \* MERGEFORMAT </w:instrText>
    </w:r>
    <w:r>
      <w:fldChar w:fldCharType="separate"/>
    </w:r>
    <w:r w:rsidR="002F176F">
      <w:rPr>
        <w:noProof/>
      </w:rPr>
      <w:t>1</w:t>
    </w:r>
    <w:r>
      <w:rPr>
        <w:noProof/>
      </w:rPr>
      <w:fldChar w:fldCharType="end"/>
    </w:r>
    <w:r>
      <w:rPr>
        <w:noProof/>
      </w:rPr>
      <w:t>, Draft of July 24,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7E6" w:rsidRDefault="004647E6" w:rsidP="00BE759B">
      <w:r>
        <w:separator/>
      </w:r>
    </w:p>
  </w:footnote>
  <w:footnote w:type="continuationSeparator" w:id="0">
    <w:p w:rsidR="004647E6" w:rsidRDefault="004647E6" w:rsidP="00BE75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D7F" w:rsidRDefault="000C4D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191" w:rsidRDefault="00FD4191" w:rsidP="00BE2FA4">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3BF" w:rsidRPr="005F6854" w:rsidRDefault="006A63BF" w:rsidP="00A56A0F">
    <w:pPr>
      <w:pStyle w:val="Header"/>
      <w:jc w:val="center"/>
    </w:pPr>
    <w:r>
      <w:rPr>
        <w:sz w:val="22"/>
      </w:rPr>
      <w:t>ATTACHMENT F</w:t>
    </w:r>
    <w:r w:rsidRPr="00441B20">
      <w:rPr>
        <w:sz w:val="22"/>
      </w:rPr>
      <w:t xml:space="preserve"> - PROPOSED AMENDED </w:t>
    </w:r>
    <w:r>
      <w:rPr>
        <w:sz w:val="22"/>
      </w:rPr>
      <w:t xml:space="preserve">NEW SOURCE REVIEW </w:t>
    </w:r>
    <w:r w:rsidRPr="00441B20">
      <w:rPr>
        <w:sz w:val="22"/>
      </w:rPr>
      <w:t>RULES</w:t>
    </w:r>
    <w:r>
      <w:rPr>
        <w:sz w:val="22"/>
      </w:rPr>
      <w:t xml:space="preserve"> THAT MAY HAVE IMPLICATIONS RELATIVE TO THE “PROTECT CALIFORNIA AIR ACT OF 2003” (SB 288, HEALTH AND SAFETY CODE SECTION 42500 </w:t>
    </w:r>
    <w:r>
      <w:rPr>
        <w:i/>
        <w:sz w:val="22"/>
      </w:rPr>
      <w:t>ET SEQ.</w:t>
    </w:r>
    <w:r>
      <w:rPr>
        <w:sz w:val="22"/>
      </w:rPr>
      <w:t>)</w:t>
    </w:r>
  </w:p>
  <w:p w:rsidR="006A63BF" w:rsidRDefault="006A63BF" w:rsidP="00A56A0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403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61EA4"/>
    <w:multiLevelType w:val="hybridMultilevel"/>
    <w:tmpl w:val="0B922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D6541"/>
    <w:multiLevelType w:val="singleLevel"/>
    <w:tmpl w:val="810E753A"/>
    <w:lvl w:ilvl="0">
      <w:start w:val="4"/>
      <w:numFmt w:val="decimal"/>
      <w:lvlText w:val="%1."/>
      <w:lvlJc w:val="left"/>
      <w:pPr>
        <w:tabs>
          <w:tab w:val="num" w:pos="1440"/>
        </w:tabs>
        <w:ind w:left="1440" w:hanging="630"/>
      </w:pPr>
      <w:rPr>
        <w:rFonts w:hint="default"/>
      </w:rPr>
    </w:lvl>
  </w:abstractNum>
  <w:abstractNum w:abstractNumId="3" w15:restartNumberingAfterBreak="0">
    <w:nsid w:val="110E77A1"/>
    <w:multiLevelType w:val="singleLevel"/>
    <w:tmpl w:val="53D0A704"/>
    <w:lvl w:ilvl="0">
      <w:start w:val="1"/>
      <w:numFmt w:val="decimal"/>
      <w:lvlText w:val="%1."/>
      <w:lvlJc w:val="left"/>
      <w:pPr>
        <w:tabs>
          <w:tab w:val="num" w:pos="1440"/>
        </w:tabs>
        <w:ind w:left="1440" w:hanging="720"/>
      </w:pPr>
      <w:rPr>
        <w:rFonts w:hint="default"/>
        <w:u w:val="none"/>
      </w:rPr>
    </w:lvl>
  </w:abstractNum>
  <w:abstractNum w:abstractNumId="4" w15:restartNumberingAfterBreak="0">
    <w:nsid w:val="17293B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B31C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F8560B"/>
    <w:multiLevelType w:val="singleLevel"/>
    <w:tmpl w:val="6DA6F826"/>
    <w:lvl w:ilvl="0">
      <w:start w:val="1"/>
      <w:numFmt w:val="decimal"/>
      <w:lvlText w:val="%1."/>
      <w:lvlJc w:val="left"/>
      <w:pPr>
        <w:tabs>
          <w:tab w:val="num" w:pos="1440"/>
        </w:tabs>
        <w:ind w:left="1440" w:hanging="630"/>
      </w:pPr>
      <w:rPr>
        <w:rFonts w:hint="default"/>
      </w:rPr>
    </w:lvl>
  </w:abstractNum>
  <w:abstractNum w:abstractNumId="7" w15:restartNumberingAfterBreak="0">
    <w:nsid w:val="2F131FAA"/>
    <w:multiLevelType w:val="hybridMultilevel"/>
    <w:tmpl w:val="576AF37E"/>
    <w:lvl w:ilvl="0" w:tplc="624ECB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010DAA"/>
    <w:multiLevelType w:val="singleLevel"/>
    <w:tmpl w:val="E1E0031A"/>
    <w:lvl w:ilvl="0">
      <w:start w:val="5"/>
      <w:numFmt w:val="upperLetter"/>
      <w:lvlText w:val="%1."/>
      <w:lvlJc w:val="left"/>
      <w:pPr>
        <w:tabs>
          <w:tab w:val="num" w:pos="720"/>
        </w:tabs>
        <w:ind w:left="720" w:hanging="720"/>
      </w:pPr>
      <w:rPr>
        <w:rFonts w:hint="default"/>
      </w:rPr>
    </w:lvl>
  </w:abstractNum>
  <w:abstractNum w:abstractNumId="9" w15:restartNumberingAfterBreak="0">
    <w:nsid w:val="3D702DFA"/>
    <w:multiLevelType w:val="multilevel"/>
    <w:tmpl w:val="B8AE927E"/>
    <w:lvl w:ilvl="0">
      <w:start w:val="3"/>
      <w:numFmt w:val="decimal"/>
      <w:lvlText w:val="%1.0"/>
      <w:lvlJc w:val="left"/>
      <w:pPr>
        <w:tabs>
          <w:tab w:val="num" w:pos="720"/>
        </w:tabs>
        <w:ind w:left="720" w:hanging="720"/>
      </w:pPr>
    </w:lvl>
    <w:lvl w:ilvl="1">
      <w:start w:val="1"/>
      <w:numFmt w:val="decimal"/>
      <w:lvlText w:val="%1.%2"/>
      <w:lvlJc w:val="left"/>
      <w:pPr>
        <w:tabs>
          <w:tab w:val="num" w:pos="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0" w15:restartNumberingAfterBreak="0">
    <w:nsid w:val="45120091"/>
    <w:multiLevelType w:val="singleLevel"/>
    <w:tmpl w:val="D76E4CE4"/>
    <w:lvl w:ilvl="0">
      <w:start w:val="4"/>
      <w:numFmt w:val="lowerLetter"/>
      <w:lvlText w:val="%1."/>
      <w:lvlJc w:val="left"/>
      <w:pPr>
        <w:tabs>
          <w:tab w:val="num" w:pos="2160"/>
        </w:tabs>
        <w:ind w:left="2160" w:hanging="720"/>
      </w:pPr>
      <w:rPr>
        <w:rFonts w:hint="default"/>
      </w:rPr>
    </w:lvl>
  </w:abstractNum>
  <w:abstractNum w:abstractNumId="11" w15:restartNumberingAfterBreak="0">
    <w:nsid w:val="4BF23E05"/>
    <w:multiLevelType w:val="hybridMultilevel"/>
    <w:tmpl w:val="20D63AC4"/>
    <w:lvl w:ilvl="0" w:tplc="7D800766">
      <w:start w:val="1"/>
      <w:numFmt w:val="decimal"/>
      <w:lvlText w:val="%1."/>
      <w:lvlJc w:val="left"/>
      <w:pPr>
        <w:tabs>
          <w:tab w:val="num" w:pos="1445"/>
        </w:tabs>
        <w:ind w:left="1445" w:hanging="360"/>
      </w:pPr>
    </w:lvl>
    <w:lvl w:ilvl="1" w:tplc="3BF8F202" w:tentative="1">
      <w:start w:val="1"/>
      <w:numFmt w:val="lowerLetter"/>
      <w:lvlText w:val="%2."/>
      <w:lvlJc w:val="left"/>
      <w:pPr>
        <w:tabs>
          <w:tab w:val="num" w:pos="2165"/>
        </w:tabs>
        <w:ind w:left="2165" w:hanging="360"/>
      </w:pPr>
    </w:lvl>
    <w:lvl w:ilvl="2" w:tplc="FD50B1F0" w:tentative="1">
      <w:start w:val="1"/>
      <w:numFmt w:val="lowerRoman"/>
      <w:lvlText w:val="%3."/>
      <w:lvlJc w:val="right"/>
      <w:pPr>
        <w:tabs>
          <w:tab w:val="num" w:pos="2885"/>
        </w:tabs>
        <w:ind w:left="2885" w:hanging="180"/>
      </w:pPr>
    </w:lvl>
    <w:lvl w:ilvl="3" w:tplc="E87C7906" w:tentative="1">
      <w:start w:val="1"/>
      <w:numFmt w:val="decimal"/>
      <w:lvlText w:val="%4."/>
      <w:lvlJc w:val="left"/>
      <w:pPr>
        <w:tabs>
          <w:tab w:val="num" w:pos="3605"/>
        </w:tabs>
        <w:ind w:left="3605" w:hanging="360"/>
      </w:pPr>
    </w:lvl>
    <w:lvl w:ilvl="4" w:tplc="56E0277E" w:tentative="1">
      <w:start w:val="1"/>
      <w:numFmt w:val="lowerLetter"/>
      <w:lvlText w:val="%5."/>
      <w:lvlJc w:val="left"/>
      <w:pPr>
        <w:tabs>
          <w:tab w:val="num" w:pos="4325"/>
        </w:tabs>
        <w:ind w:left="4325" w:hanging="360"/>
      </w:pPr>
    </w:lvl>
    <w:lvl w:ilvl="5" w:tplc="50CAAD54" w:tentative="1">
      <w:start w:val="1"/>
      <w:numFmt w:val="lowerRoman"/>
      <w:lvlText w:val="%6."/>
      <w:lvlJc w:val="right"/>
      <w:pPr>
        <w:tabs>
          <w:tab w:val="num" w:pos="5045"/>
        </w:tabs>
        <w:ind w:left="5045" w:hanging="180"/>
      </w:pPr>
    </w:lvl>
    <w:lvl w:ilvl="6" w:tplc="FA4A9786" w:tentative="1">
      <w:start w:val="1"/>
      <w:numFmt w:val="decimal"/>
      <w:lvlText w:val="%7."/>
      <w:lvlJc w:val="left"/>
      <w:pPr>
        <w:tabs>
          <w:tab w:val="num" w:pos="5765"/>
        </w:tabs>
        <w:ind w:left="5765" w:hanging="360"/>
      </w:pPr>
    </w:lvl>
    <w:lvl w:ilvl="7" w:tplc="9DC2AA64" w:tentative="1">
      <w:start w:val="1"/>
      <w:numFmt w:val="lowerLetter"/>
      <w:lvlText w:val="%8."/>
      <w:lvlJc w:val="left"/>
      <w:pPr>
        <w:tabs>
          <w:tab w:val="num" w:pos="6485"/>
        </w:tabs>
        <w:ind w:left="6485" w:hanging="360"/>
      </w:pPr>
    </w:lvl>
    <w:lvl w:ilvl="8" w:tplc="4184DF40" w:tentative="1">
      <w:start w:val="1"/>
      <w:numFmt w:val="lowerRoman"/>
      <w:lvlText w:val="%9."/>
      <w:lvlJc w:val="right"/>
      <w:pPr>
        <w:tabs>
          <w:tab w:val="num" w:pos="7205"/>
        </w:tabs>
        <w:ind w:left="7205" w:hanging="180"/>
      </w:pPr>
    </w:lvl>
  </w:abstractNum>
  <w:abstractNum w:abstractNumId="12" w15:restartNumberingAfterBreak="0">
    <w:nsid w:val="5C834AFB"/>
    <w:multiLevelType w:val="singleLevel"/>
    <w:tmpl w:val="FF445790"/>
    <w:lvl w:ilvl="0">
      <w:start w:val="1"/>
      <w:numFmt w:val="upperLetter"/>
      <w:lvlText w:val="%1."/>
      <w:lvlJc w:val="left"/>
      <w:pPr>
        <w:tabs>
          <w:tab w:val="num" w:pos="720"/>
        </w:tabs>
        <w:ind w:left="720" w:hanging="720"/>
      </w:pPr>
      <w:rPr>
        <w:rFonts w:hint="default"/>
      </w:rPr>
    </w:lvl>
  </w:abstractNum>
  <w:abstractNum w:abstractNumId="13" w15:restartNumberingAfterBreak="0">
    <w:nsid w:val="5EDF6E85"/>
    <w:multiLevelType w:val="singleLevel"/>
    <w:tmpl w:val="622A7306"/>
    <w:lvl w:ilvl="0">
      <w:start w:val="1"/>
      <w:numFmt w:val="lowerLetter"/>
      <w:lvlText w:val="%1."/>
      <w:lvlJc w:val="left"/>
      <w:pPr>
        <w:tabs>
          <w:tab w:val="num" w:pos="2160"/>
        </w:tabs>
        <w:ind w:left="2160" w:hanging="720"/>
      </w:pPr>
      <w:rPr>
        <w:rFonts w:hint="default"/>
      </w:rPr>
    </w:lvl>
  </w:abstractNum>
  <w:abstractNum w:abstractNumId="14" w15:restartNumberingAfterBreak="0">
    <w:nsid w:val="652916C2"/>
    <w:multiLevelType w:val="hybridMultilevel"/>
    <w:tmpl w:val="0C1CE2C2"/>
    <w:lvl w:ilvl="0" w:tplc="2D4C120E">
      <w:start w:val="1"/>
      <w:numFmt w:val="decimal"/>
      <w:lvlText w:val="%1."/>
      <w:lvlJc w:val="left"/>
      <w:pPr>
        <w:tabs>
          <w:tab w:val="num" w:pos="1080"/>
        </w:tabs>
        <w:ind w:left="1080" w:hanging="360"/>
      </w:pPr>
      <w:rPr>
        <w:rFonts w:hint="default"/>
      </w:rPr>
    </w:lvl>
    <w:lvl w:ilvl="1" w:tplc="F3000A2C" w:tentative="1">
      <w:start w:val="1"/>
      <w:numFmt w:val="lowerLetter"/>
      <w:lvlText w:val="%2."/>
      <w:lvlJc w:val="left"/>
      <w:pPr>
        <w:tabs>
          <w:tab w:val="num" w:pos="1800"/>
        </w:tabs>
        <w:ind w:left="1800" w:hanging="360"/>
      </w:pPr>
    </w:lvl>
    <w:lvl w:ilvl="2" w:tplc="B3460B68" w:tentative="1">
      <w:start w:val="1"/>
      <w:numFmt w:val="lowerRoman"/>
      <w:lvlText w:val="%3."/>
      <w:lvlJc w:val="right"/>
      <w:pPr>
        <w:tabs>
          <w:tab w:val="num" w:pos="2520"/>
        </w:tabs>
        <w:ind w:left="2520" w:hanging="180"/>
      </w:pPr>
    </w:lvl>
    <w:lvl w:ilvl="3" w:tplc="165AED22" w:tentative="1">
      <w:start w:val="1"/>
      <w:numFmt w:val="decimal"/>
      <w:lvlText w:val="%4."/>
      <w:lvlJc w:val="left"/>
      <w:pPr>
        <w:tabs>
          <w:tab w:val="num" w:pos="3240"/>
        </w:tabs>
        <w:ind w:left="3240" w:hanging="360"/>
      </w:pPr>
    </w:lvl>
    <w:lvl w:ilvl="4" w:tplc="E5520106" w:tentative="1">
      <w:start w:val="1"/>
      <w:numFmt w:val="lowerLetter"/>
      <w:lvlText w:val="%5."/>
      <w:lvlJc w:val="left"/>
      <w:pPr>
        <w:tabs>
          <w:tab w:val="num" w:pos="3960"/>
        </w:tabs>
        <w:ind w:left="3960" w:hanging="360"/>
      </w:pPr>
    </w:lvl>
    <w:lvl w:ilvl="5" w:tplc="A378AC36" w:tentative="1">
      <w:start w:val="1"/>
      <w:numFmt w:val="lowerRoman"/>
      <w:lvlText w:val="%6."/>
      <w:lvlJc w:val="right"/>
      <w:pPr>
        <w:tabs>
          <w:tab w:val="num" w:pos="4680"/>
        </w:tabs>
        <w:ind w:left="4680" w:hanging="180"/>
      </w:pPr>
    </w:lvl>
    <w:lvl w:ilvl="6" w:tplc="1414B760" w:tentative="1">
      <w:start w:val="1"/>
      <w:numFmt w:val="decimal"/>
      <w:lvlText w:val="%7."/>
      <w:lvlJc w:val="left"/>
      <w:pPr>
        <w:tabs>
          <w:tab w:val="num" w:pos="5400"/>
        </w:tabs>
        <w:ind w:left="5400" w:hanging="360"/>
      </w:pPr>
    </w:lvl>
    <w:lvl w:ilvl="7" w:tplc="660653E2" w:tentative="1">
      <w:start w:val="1"/>
      <w:numFmt w:val="lowerLetter"/>
      <w:lvlText w:val="%8."/>
      <w:lvlJc w:val="left"/>
      <w:pPr>
        <w:tabs>
          <w:tab w:val="num" w:pos="6120"/>
        </w:tabs>
        <w:ind w:left="6120" w:hanging="360"/>
      </w:pPr>
    </w:lvl>
    <w:lvl w:ilvl="8" w:tplc="802EDEC8" w:tentative="1">
      <w:start w:val="1"/>
      <w:numFmt w:val="lowerRoman"/>
      <w:lvlText w:val="%9."/>
      <w:lvlJc w:val="right"/>
      <w:pPr>
        <w:tabs>
          <w:tab w:val="num" w:pos="6840"/>
        </w:tabs>
        <w:ind w:left="6840" w:hanging="180"/>
      </w:pPr>
    </w:lvl>
  </w:abstractNum>
  <w:abstractNum w:abstractNumId="15" w15:restartNumberingAfterBreak="0">
    <w:nsid w:val="672E2D10"/>
    <w:multiLevelType w:val="singleLevel"/>
    <w:tmpl w:val="12DA9E20"/>
    <w:lvl w:ilvl="0">
      <w:start w:val="1"/>
      <w:numFmt w:val="lowerLetter"/>
      <w:lvlText w:val="%1)"/>
      <w:legacy w:legacy="1" w:legacySpace="0" w:legacyIndent="360"/>
      <w:lvlJc w:val="left"/>
      <w:pPr>
        <w:ind w:left="2160" w:hanging="360"/>
      </w:pPr>
    </w:lvl>
  </w:abstractNum>
  <w:abstractNum w:abstractNumId="16" w15:restartNumberingAfterBreak="0">
    <w:nsid w:val="67F9123E"/>
    <w:multiLevelType w:val="singleLevel"/>
    <w:tmpl w:val="34B674C0"/>
    <w:lvl w:ilvl="0">
      <w:start w:val="4"/>
      <w:numFmt w:val="lowerLetter"/>
      <w:lvlText w:val="%1."/>
      <w:lvlJc w:val="left"/>
      <w:pPr>
        <w:tabs>
          <w:tab w:val="num" w:pos="2160"/>
        </w:tabs>
        <w:ind w:left="2160" w:hanging="720"/>
      </w:pPr>
      <w:rPr>
        <w:rFonts w:hint="default"/>
      </w:rPr>
    </w:lvl>
  </w:abstractNum>
  <w:abstractNum w:abstractNumId="17" w15:restartNumberingAfterBreak="0">
    <w:nsid w:val="696D4D1D"/>
    <w:multiLevelType w:val="singleLevel"/>
    <w:tmpl w:val="2634F33C"/>
    <w:lvl w:ilvl="0">
      <w:start w:val="3"/>
      <w:numFmt w:val="lowerLetter"/>
      <w:lvlText w:val="%1."/>
      <w:lvlJc w:val="left"/>
      <w:pPr>
        <w:tabs>
          <w:tab w:val="num" w:pos="2160"/>
        </w:tabs>
        <w:ind w:left="2160" w:hanging="720"/>
      </w:pPr>
      <w:rPr>
        <w:rFonts w:hint="default"/>
      </w:rPr>
    </w:lvl>
  </w:abstractNum>
  <w:abstractNum w:abstractNumId="18" w15:restartNumberingAfterBreak="0">
    <w:nsid w:val="6A7974ED"/>
    <w:multiLevelType w:val="singleLevel"/>
    <w:tmpl w:val="12DA9E20"/>
    <w:lvl w:ilvl="0">
      <w:start w:val="1"/>
      <w:numFmt w:val="lowerLetter"/>
      <w:lvlText w:val="%1)"/>
      <w:legacy w:legacy="1" w:legacySpace="0" w:legacyIndent="360"/>
      <w:lvlJc w:val="left"/>
      <w:pPr>
        <w:ind w:left="1224" w:hanging="360"/>
      </w:pPr>
    </w:lvl>
  </w:abstractNum>
  <w:abstractNum w:abstractNumId="19" w15:restartNumberingAfterBreak="0">
    <w:nsid w:val="6BE2192B"/>
    <w:multiLevelType w:val="multilevel"/>
    <w:tmpl w:val="8970F924"/>
    <w:lvl w:ilvl="0">
      <w:start w:val="2"/>
      <w:numFmt w:val="decimal"/>
      <w:lvlText w:val="%1"/>
      <w:lvlJc w:val="left"/>
      <w:pPr>
        <w:tabs>
          <w:tab w:val="num" w:pos="720"/>
        </w:tabs>
        <w:ind w:left="720" w:hanging="720"/>
      </w:pPr>
      <w:rPr>
        <w:rFonts w:hint="default"/>
      </w:rPr>
    </w:lvl>
    <w:lvl w:ilvl="1">
      <w:start w:val="2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15:restartNumberingAfterBreak="0">
    <w:nsid w:val="70CC1152"/>
    <w:multiLevelType w:val="hybridMultilevel"/>
    <w:tmpl w:val="40AC73A6"/>
    <w:lvl w:ilvl="0" w:tplc="6C2C4A56">
      <w:numFmt w:val="bullet"/>
      <w:lvlText w:val=""/>
      <w:lvlJc w:val="left"/>
      <w:pPr>
        <w:ind w:left="405" w:hanging="360"/>
      </w:pPr>
      <w:rPr>
        <w:rFonts w:ascii="Wingdings" w:eastAsia="Calibri" w:hAnsi="Wingdings"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1" w15:restartNumberingAfterBreak="0">
    <w:nsid w:val="7A5604FE"/>
    <w:multiLevelType w:val="singleLevel"/>
    <w:tmpl w:val="7EA26AEA"/>
    <w:lvl w:ilvl="0">
      <w:start w:val="1"/>
      <w:numFmt w:val="lowerLetter"/>
      <w:lvlText w:val="%1."/>
      <w:lvlJc w:val="left"/>
      <w:pPr>
        <w:tabs>
          <w:tab w:val="num" w:pos="2160"/>
        </w:tabs>
        <w:ind w:left="2160" w:hanging="720"/>
      </w:pPr>
      <w:rPr>
        <w:rFonts w:hint="default"/>
      </w:rPr>
    </w:lvl>
  </w:abstractNum>
  <w:abstractNum w:abstractNumId="22" w15:restartNumberingAfterBreak="0">
    <w:nsid w:val="7D5027F9"/>
    <w:multiLevelType w:val="hybridMultilevel"/>
    <w:tmpl w:val="DC80A290"/>
    <w:lvl w:ilvl="0" w:tplc="EF4C0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14"/>
  </w:num>
  <w:num w:numId="5">
    <w:abstractNumId w:val="19"/>
  </w:num>
  <w:num w:numId="6">
    <w:abstractNumId w:val="17"/>
  </w:num>
  <w:num w:numId="7">
    <w:abstractNumId w:val="16"/>
  </w:num>
  <w:num w:numId="8">
    <w:abstractNumId w:val="8"/>
  </w:num>
  <w:num w:numId="9">
    <w:abstractNumId w:val="6"/>
  </w:num>
  <w:num w:numId="10">
    <w:abstractNumId w:val="10"/>
  </w:num>
  <w:num w:numId="11">
    <w:abstractNumId w:val="3"/>
  </w:num>
  <w:num w:numId="12">
    <w:abstractNumId w:val="21"/>
  </w:num>
  <w:num w:numId="13">
    <w:abstractNumId w:val="2"/>
  </w:num>
  <w:num w:numId="14">
    <w:abstractNumId w:val="13"/>
  </w:num>
  <w:num w:numId="15">
    <w:abstractNumId w:val="5"/>
  </w:num>
  <w:num w:numId="16">
    <w:abstractNumId w:val="0"/>
  </w:num>
  <w:num w:numId="17">
    <w:abstractNumId w:val="4"/>
  </w:num>
  <w:num w:numId="18">
    <w:abstractNumId w:val="12"/>
  </w:num>
  <w:num w:numId="19">
    <w:abstractNumId w:val="7"/>
  </w:num>
  <w:num w:numId="20">
    <w:abstractNumId w:val="22"/>
  </w:num>
  <w:num w:numId="21">
    <w:abstractNumId w:val="18"/>
  </w:num>
  <w:num w:numId="22">
    <w:abstractNumId w:val="1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oNotTrackFormatting/>
  <w:defaultTabStop w:val="720"/>
  <w:characterSpacingControl w:val="doNotCompress"/>
  <w:hdrShapeDefaults>
    <o:shapedefaults v:ext="edit" spidmax="14337"/>
  </w:hdrShapeDefault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F2B"/>
    <w:rsid w:val="00001141"/>
    <w:rsid w:val="0000392A"/>
    <w:rsid w:val="00003C28"/>
    <w:rsid w:val="000041D9"/>
    <w:rsid w:val="00007E69"/>
    <w:rsid w:val="00011273"/>
    <w:rsid w:val="0001285A"/>
    <w:rsid w:val="000149E2"/>
    <w:rsid w:val="00016254"/>
    <w:rsid w:val="00017AF0"/>
    <w:rsid w:val="00017F86"/>
    <w:rsid w:val="00023560"/>
    <w:rsid w:val="00024754"/>
    <w:rsid w:val="000247E2"/>
    <w:rsid w:val="000262D1"/>
    <w:rsid w:val="00033EE6"/>
    <w:rsid w:val="0004204C"/>
    <w:rsid w:val="00043293"/>
    <w:rsid w:val="00045787"/>
    <w:rsid w:val="000471F1"/>
    <w:rsid w:val="000509A9"/>
    <w:rsid w:val="000513B6"/>
    <w:rsid w:val="0005339C"/>
    <w:rsid w:val="00053F7A"/>
    <w:rsid w:val="0005434B"/>
    <w:rsid w:val="00057A71"/>
    <w:rsid w:val="00061048"/>
    <w:rsid w:val="00061A1B"/>
    <w:rsid w:val="0006278C"/>
    <w:rsid w:val="00064039"/>
    <w:rsid w:val="00065615"/>
    <w:rsid w:val="000667E0"/>
    <w:rsid w:val="0007067F"/>
    <w:rsid w:val="00070BB2"/>
    <w:rsid w:val="00071665"/>
    <w:rsid w:val="00072830"/>
    <w:rsid w:val="00075832"/>
    <w:rsid w:val="00077AF5"/>
    <w:rsid w:val="0008138A"/>
    <w:rsid w:val="000845FA"/>
    <w:rsid w:val="000856BB"/>
    <w:rsid w:val="00086387"/>
    <w:rsid w:val="00086C3C"/>
    <w:rsid w:val="000912DA"/>
    <w:rsid w:val="00091A34"/>
    <w:rsid w:val="00094A52"/>
    <w:rsid w:val="00094F10"/>
    <w:rsid w:val="00095561"/>
    <w:rsid w:val="00096038"/>
    <w:rsid w:val="000968B6"/>
    <w:rsid w:val="00096DFD"/>
    <w:rsid w:val="00096EBA"/>
    <w:rsid w:val="000A3143"/>
    <w:rsid w:val="000A315C"/>
    <w:rsid w:val="000A6412"/>
    <w:rsid w:val="000A6CD4"/>
    <w:rsid w:val="000A7B6E"/>
    <w:rsid w:val="000B004E"/>
    <w:rsid w:val="000B17B9"/>
    <w:rsid w:val="000B214F"/>
    <w:rsid w:val="000B2C7A"/>
    <w:rsid w:val="000B3ED7"/>
    <w:rsid w:val="000B7B25"/>
    <w:rsid w:val="000C18D8"/>
    <w:rsid w:val="000C421D"/>
    <w:rsid w:val="000C42DD"/>
    <w:rsid w:val="000C4D7F"/>
    <w:rsid w:val="000D1012"/>
    <w:rsid w:val="000D15E4"/>
    <w:rsid w:val="000D24E3"/>
    <w:rsid w:val="000D256C"/>
    <w:rsid w:val="000D5FC5"/>
    <w:rsid w:val="000D6630"/>
    <w:rsid w:val="000D7B43"/>
    <w:rsid w:val="000E0EDC"/>
    <w:rsid w:val="000E3759"/>
    <w:rsid w:val="000E5621"/>
    <w:rsid w:val="000E6EBC"/>
    <w:rsid w:val="000F013A"/>
    <w:rsid w:val="000F05EE"/>
    <w:rsid w:val="000F1403"/>
    <w:rsid w:val="000F25D8"/>
    <w:rsid w:val="000F38F9"/>
    <w:rsid w:val="000F4A5A"/>
    <w:rsid w:val="000F618A"/>
    <w:rsid w:val="000F730B"/>
    <w:rsid w:val="0010028C"/>
    <w:rsid w:val="00101754"/>
    <w:rsid w:val="001062A4"/>
    <w:rsid w:val="00115409"/>
    <w:rsid w:val="00116B6F"/>
    <w:rsid w:val="001216C5"/>
    <w:rsid w:val="001222BF"/>
    <w:rsid w:val="00122744"/>
    <w:rsid w:val="001263A6"/>
    <w:rsid w:val="0012798A"/>
    <w:rsid w:val="00130AF3"/>
    <w:rsid w:val="0013414B"/>
    <w:rsid w:val="001349A1"/>
    <w:rsid w:val="00137272"/>
    <w:rsid w:val="001376A0"/>
    <w:rsid w:val="00141EE4"/>
    <w:rsid w:val="00141F14"/>
    <w:rsid w:val="00142001"/>
    <w:rsid w:val="00142744"/>
    <w:rsid w:val="001431D6"/>
    <w:rsid w:val="0014368A"/>
    <w:rsid w:val="00144473"/>
    <w:rsid w:val="001510F8"/>
    <w:rsid w:val="001522F3"/>
    <w:rsid w:val="0015267C"/>
    <w:rsid w:val="00152E53"/>
    <w:rsid w:val="00153C35"/>
    <w:rsid w:val="00155D25"/>
    <w:rsid w:val="00155E27"/>
    <w:rsid w:val="00163183"/>
    <w:rsid w:val="00164049"/>
    <w:rsid w:val="00172AF1"/>
    <w:rsid w:val="00174688"/>
    <w:rsid w:val="001746B5"/>
    <w:rsid w:val="00175A62"/>
    <w:rsid w:val="0017639C"/>
    <w:rsid w:val="001767C9"/>
    <w:rsid w:val="0017776E"/>
    <w:rsid w:val="00177C43"/>
    <w:rsid w:val="001800AA"/>
    <w:rsid w:val="001831A6"/>
    <w:rsid w:val="00185FE9"/>
    <w:rsid w:val="001860B3"/>
    <w:rsid w:val="001875B2"/>
    <w:rsid w:val="001876F0"/>
    <w:rsid w:val="00187CA2"/>
    <w:rsid w:val="00187D43"/>
    <w:rsid w:val="00190594"/>
    <w:rsid w:val="0019230F"/>
    <w:rsid w:val="00192BB4"/>
    <w:rsid w:val="00193D40"/>
    <w:rsid w:val="001A0339"/>
    <w:rsid w:val="001A037D"/>
    <w:rsid w:val="001A1623"/>
    <w:rsid w:val="001A3559"/>
    <w:rsid w:val="001A6FC0"/>
    <w:rsid w:val="001B1151"/>
    <w:rsid w:val="001B124F"/>
    <w:rsid w:val="001B3E47"/>
    <w:rsid w:val="001B4AEB"/>
    <w:rsid w:val="001B686C"/>
    <w:rsid w:val="001B7AD7"/>
    <w:rsid w:val="001B7BED"/>
    <w:rsid w:val="001C1880"/>
    <w:rsid w:val="001C1A9B"/>
    <w:rsid w:val="001C1EFA"/>
    <w:rsid w:val="001C2581"/>
    <w:rsid w:val="001C3447"/>
    <w:rsid w:val="001C535C"/>
    <w:rsid w:val="001D2360"/>
    <w:rsid w:val="001D2905"/>
    <w:rsid w:val="001D3164"/>
    <w:rsid w:val="001D3B36"/>
    <w:rsid w:val="001D4E88"/>
    <w:rsid w:val="001D6A2F"/>
    <w:rsid w:val="001D79B0"/>
    <w:rsid w:val="001E00B7"/>
    <w:rsid w:val="001E0B63"/>
    <w:rsid w:val="001E141D"/>
    <w:rsid w:val="001E4257"/>
    <w:rsid w:val="001E75A5"/>
    <w:rsid w:val="001F3C8C"/>
    <w:rsid w:val="001F3CCB"/>
    <w:rsid w:val="001F5EC3"/>
    <w:rsid w:val="001F6BB4"/>
    <w:rsid w:val="0020095A"/>
    <w:rsid w:val="002014B6"/>
    <w:rsid w:val="00202ADA"/>
    <w:rsid w:val="00203675"/>
    <w:rsid w:val="0020381C"/>
    <w:rsid w:val="00205BE3"/>
    <w:rsid w:val="00207469"/>
    <w:rsid w:val="00216F88"/>
    <w:rsid w:val="002175CF"/>
    <w:rsid w:val="00221428"/>
    <w:rsid w:val="002217B8"/>
    <w:rsid w:val="00222E43"/>
    <w:rsid w:val="00223B52"/>
    <w:rsid w:val="00223D84"/>
    <w:rsid w:val="00224BF3"/>
    <w:rsid w:val="002260CA"/>
    <w:rsid w:val="0023016B"/>
    <w:rsid w:val="00230862"/>
    <w:rsid w:val="0023152B"/>
    <w:rsid w:val="0023405C"/>
    <w:rsid w:val="002341EC"/>
    <w:rsid w:val="002349B2"/>
    <w:rsid w:val="00235516"/>
    <w:rsid w:val="002374BB"/>
    <w:rsid w:val="002376C1"/>
    <w:rsid w:val="00241D60"/>
    <w:rsid w:val="002459D9"/>
    <w:rsid w:val="00245A2A"/>
    <w:rsid w:val="00245F53"/>
    <w:rsid w:val="00246406"/>
    <w:rsid w:val="00247070"/>
    <w:rsid w:val="002504E5"/>
    <w:rsid w:val="002513DF"/>
    <w:rsid w:val="0025175E"/>
    <w:rsid w:val="00253212"/>
    <w:rsid w:val="00253511"/>
    <w:rsid w:val="002538C6"/>
    <w:rsid w:val="00253A23"/>
    <w:rsid w:val="00254039"/>
    <w:rsid w:val="0025463C"/>
    <w:rsid w:val="00254FAB"/>
    <w:rsid w:val="002553BA"/>
    <w:rsid w:val="0025614F"/>
    <w:rsid w:val="002573F8"/>
    <w:rsid w:val="002574ED"/>
    <w:rsid w:val="00260E13"/>
    <w:rsid w:val="00262122"/>
    <w:rsid w:val="00263D13"/>
    <w:rsid w:val="00266537"/>
    <w:rsid w:val="002702F7"/>
    <w:rsid w:val="002704FE"/>
    <w:rsid w:val="002732B4"/>
    <w:rsid w:val="002777C6"/>
    <w:rsid w:val="00280979"/>
    <w:rsid w:val="00281F83"/>
    <w:rsid w:val="00284DD2"/>
    <w:rsid w:val="0028761E"/>
    <w:rsid w:val="00287AA4"/>
    <w:rsid w:val="00287B75"/>
    <w:rsid w:val="002909E9"/>
    <w:rsid w:val="00296B4B"/>
    <w:rsid w:val="00296F87"/>
    <w:rsid w:val="002A0FF9"/>
    <w:rsid w:val="002A19FB"/>
    <w:rsid w:val="002A1A94"/>
    <w:rsid w:val="002A445E"/>
    <w:rsid w:val="002A5951"/>
    <w:rsid w:val="002A7231"/>
    <w:rsid w:val="002B0D03"/>
    <w:rsid w:val="002B2F4C"/>
    <w:rsid w:val="002B46B8"/>
    <w:rsid w:val="002B4E83"/>
    <w:rsid w:val="002B5D72"/>
    <w:rsid w:val="002B6A34"/>
    <w:rsid w:val="002B6FE6"/>
    <w:rsid w:val="002B73B4"/>
    <w:rsid w:val="002B7A91"/>
    <w:rsid w:val="002C61BD"/>
    <w:rsid w:val="002C667C"/>
    <w:rsid w:val="002D4E87"/>
    <w:rsid w:val="002D6BA3"/>
    <w:rsid w:val="002E09B0"/>
    <w:rsid w:val="002E0A6A"/>
    <w:rsid w:val="002E1B71"/>
    <w:rsid w:val="002E660E"/>
    <w:rsid w:val="002E7747"/>
    <w:rsid w:val="002F158C"/>
    <w:rsid w:val="002F176F"/>
    <w:rsid w:val="002F2BC1"/>
    <w:rsid w:val="002F4596"/>
    <w:rsid w:val="00300153"/>
    <w:rsid w:val="00300EB4"/>
    <w:rsid w:val="00312531"/>
    <w:rsid w:val="003125B8"/>
    <w:rsid w:val="0031574A"/>
    <w:rsid w:val="00321277"/>
    <w:rsid w:val="00321D0F"/>
    <w:rsid w:val="00322E64"/>
    <w:rsid w:val="00323A88"/>
    <w:rsid w:val="00324C4E"/>
    <w:rsid w:val="00327D28"/>
    <w:rsid w:val="00331452"/>
    <w:rsid w:val="0033156F"/>
    <w:rsid w:val="003330D5"/>
    <w:rsid w:val="003341F3"/>
    <w:rsid w:val="003348D4"/>
    <w:rsid w:val="00334E9A"/>
    <w:rsid w:val="00336801"/>
    <w:rsid w:val="00343BC7"/>
    <w:rsid w:val="00344A12"/>
    <w:rsid w:val="003471CB"/>
    <w:rsid w:val="0035085E"/>
    <w:rsid w:val="00352C7C"/>
    <w:rsid w:val="00353DED"/>
    <w:rsid w:val="00354061"/>
    <w:rsid w:val="00356CED"/>
    <w:rsid w:val="00360A15"/>
    <w:rsid w:val="003611B1"/>
    <w:rsid w:val="003629E6"/>
    <w:rsid w:val="00362F34"/>
    <w:rsid w:val="00364047"/>
    <w:rsid w:val="00364CCF"/>
    <w:rsid w:val="00366988"/>
    <w:rsid w:val="0036750F"/>
    <w:rsid w:val="0037002D"/>
    <w:rsid w:val="003707B9"/>
    <w:rsid w:val="00371774"/>
    <w:rsid w:val="0037305B"/>
    <w:rsid w:val="00373699"/>
    <w:rsid w:val="00373CB1"/>
    <w:rsid w:val="003744FA"/>
    <w:rsid w:val="0037486A"/>
    <w:rsid w:val="00374F11"/>
    <w:rsid w:val="00380CB6"/>
    <w:rsid w:val="00386410"/>
    <w:rsid w:val="00386797"/>
    <w:rsid w:val="00387B15"/>
    <w:rsid w:val="00387C78"/>
    <w:rsid w:val="00390B4F"/>
    <w:rsid w:val="00390D30"/>
    <w:rsid w:val="00390E6B"/>
    <w:rsid w:val="00392825"/>
    <w:rsid w:val="003930CA"/>
    <w:rsid w:val="003961F2"/>
    <w:rsid w:val="00396D09"/>
    <w:rsid w:val="00397773"/>
    <w:rsid w:val="003A168A"/>
    <w:rsid w:val="003A37D4"/>
    <w:rsid w:val="003A470B"/>
    <w:rsid w:val="003A4C38"/>
    <w:rsid w:val="003A4C5D"/>
    <w:rsid w:val="003A4D6A"/>
    <w:rsid w:val="003A52F9"/>
    <w:rsid w:val="003A5D4D"/>
    <w:rsid w:val="003A70AD"/>
    <w:rsid w:val="003B1AB0"/>
    <w:rsid w:val="003B24CC"/>
    <w:rsid w:val="003B2BC8"/>
    <w:rsid w:val="003B4A21"/>
    <w:rsid w:val="003B4CD5"/>
    <w:rsid w:val="003B4F44"/>
    <w:rsid w:val="003B50CA"/>
    <w:rsid w:val="003C62FA"/>
    <w:rsid w:val="003C77D0"/>
    <w:rsid w:val="003D1E9E"/>
    <w:rsid w:val="003D2795"/>
    <w:rsid w:val="003D3D3D"/>
    <w:rsid w:val="003D48D2"/>
    <w:rsid w:val="003D5993"/>
    <w:rsid w:val="003D5C66"/>
    <w:rsid w:val="003D5C71"/>
    <w:rsid w:val="003D5CEB"/>
    <w:rsid w:val="003D66D6"/>
    <w:rsid w:val="003E0471"/>
    <w:rsid w:val="003F070B"/>
    <w:rsid w:val="003F23CE"/>
    <w:rsid w:val="003F3666"/>
    <w:rsid w:val="003F4B28"/>
    <w:rsid w:val="003F57B3"/>
    <w:rsid w:val="003F59C5"/>
    <w:rsid w:val="004010E1"/>
    <w:rsid w:val="00403ADD"/>
    <w:rsid w:val="00403E25"/>
    <w:rsid w:val="00406496"/>
    <w:rsid w:val="00406F1F"/>
    <w:rsid w:val="00407B90"/>
    <w:rsid w:val="00412BBF"/>
    <w:rsid w:val="00412F86"/>
    <w:rsid w:val="00414838"/>
    <w:rsid w:val="0041718E"/>
    <w:rsid w:val="00420B7D"/>
    <w:rsid w:val="00421754"/>
    <w:rsid w:val="00422868"/>
    <w:rsid w:val="00424C4A"/>
    <w:rsid w:val="004255AE"/>
    <w:rsid w:val="0042740D"/>
    <w:rsid w:val="004274AF"/>
    <w:rsid w:val="004302B0"/>
    <w:rsid w:val="00430A37"/>
    <w:rsid w:val="00430C7F"/>
    <w:rsid w:val="00433567"/>
    <w:rsid w:val="0043454B"/>
    <w:rsid w:val="00435193"/>
    <w:rsid w:val="004354DD"/>
    <w:rsid w:val="0043565C"/>
    <w:rsid w:val="0043710C"/>
    <w:rsid w:val="00437979"/>
    <w:rsid w:val="004406E7"/>
    <w:rsid w:val="00441B20"/>
    <w:rsid w:val="004469A7"/>
    <w:rsid w:val="004504D1"/>
    <w:rsid w:val="00451926"/>
    <w:rsid w:val="00451C80"/>
    <w:rsid w:val="004543E2"/>
    <w:rsid w:val="004548F0"/>
    <w:rsid w:val="00454D10"/>
    <w:rsid w:val="00457809"/>
    <w:rsid w:val="00462CFA"/>
    <w:rsid w:val="004644AC"/>
    <w:rsid w:val="004647E6"/>
    <w:rsid w:val="00464C81"/>
    <w:rsid w:val="00464ED8"/>
    <w:rsid w:val="004658DC"/>
    <w:rsid w:val="0046792B"/>
    <w:rsid w:val="0047224A"/>
    <w:rsid w:val="0047406C"/>
    <w:rsid w:val="00474CA1"/>
    <w:rsid w:val="00481D82"/>
    <w:rsid w:val="00482D64"/>
    <w:rsid w:val="0048300A"/>
    <w:rsid w:val="00483908"/>
    <w:rsid w:val="00483FF8"/>
    <w:rsid w:val="00484273"/>
    <w:rsid w:val="00484664"/>
    <w:rsid w:val="0048500B"/>
    <w:rsid w:val="004874FF"/>
    <w:rsid w:val="0049199E"/>
    <w:rsid w:val="00493900"/>
    <w:rsid w:val="0049437B"/>
    <w:rsid w:val="00494CC2"/>
    <w:rsid w:val="00495268"/>
    <w:rsid w:val="00495C09"/>
    <w:rsid w:val="00497A05"/>
    <w:rsid w:val="00497E3F"/>
    <w:rsid w:val="004A03D6"/>
    <w:rsid w:val="004A35EC"/>
    <w:rsid w:val="004A3FF0"/>
    <w:rsid w:val="004A5365"/>
    <w:rsid w:val="004A76B9"/>
    <w:rsid w:val="004B176C"/>
    <w:rsid w:val="004B1D81"/>
    <w:rsid w:val="004B58AA"/>
    <w:rsid w:val="004B797A"/>
    <w:rsid w:val="004C0DA0"/>
    <w:rsid w:val="004C0F2B"/>
    <w:rsid w:val="004C172C"/>
    <w:rsid w:val="004C307C"/>
    <w:rsid w:val="004C3861"/>
    <w:rsid w:val="004C4496"/>
    <w:rsid w:val="004C5A5D"/>
    <w:rsid w:val="004C5DF8"/>
    <w:rsid w:val="004C67DD"/>
    <w:rsid w:val="004C7314"/>
    <w:rsid w:val="004D3F6B"/>
    <w:rsid w:val="004D4EA0"/>
    <w:rsid w:val="004D749D"/>
    <w:rsid w:val="004D7BF9"/>
    <w:rsid w:val="004D7ECF"/>
    <w:rsid w:val="004E0B27"/>
    <w:rsid w:val="004E16E8"/>
    <w:rsid w:val="004E173D"/>
    <w:rsid w:val="004E24E5"/>
    <w:rsid w:val="004E2D5B"/>
    <w:rsid w:val="004E3FA9"/>
    <w:rsid w:val="004E4150"/>
    <w:rsid w:val="004E5871"/>
    <w:rsid w:val="004F190F"/>
    <w:rsid w:val="004F1E80"/>
    <w:rsid w:val="004F3B05"/>
    <w:rsid w:val="004F4C18"/>
    <w:rsid w:val="004F7034"/>
    <w:rsid w:val="00500F50"/>
    <w:rsid w:val="00502140"/>
    <w:rsid w:val="00503767"/>
    <w:rsid w:val="00503ED4"/>
    <w:rsid w:val="00510673"/>
    <w:rsid w:val="00514058"/>
    <w:rsid w:val="005142DE"/>
    <w:rsid w:val="005147ED"/>
    <w:rsid w:val="00514CF1"/>
    <w:rsid w:val="0051553A"/>
    <w:rsid w:val="00515F51"/>
    <w:rsid w:val="00520476"/>
    <w:rsid w:val="00520504"/>
    <w:rsid w:val="00520BA2"/>
    <w:rsid w:val="00521969"/>
    <w:rsid w:val="0052484B"/>
    <w:rsid w:val="00526E33"/>
    <w:rsid w:val="00527A70"/>
    <w:rsid w:val="00536FFF"/>
    <w:rsid w:val="00537159"/>
    <w:rsid w:val="00537687"/>
    <w:rsid w:val="00542C00"/>
    <w:rsid w:val="005439F8"/>
    <w:rsid w:val="0054673E"/>
    <w:rsid w:val="005475BB"/>
    <w:rsid w:val="00553B13"/>
    <w:rsid w:val="00561B0B"/>
    <w:rsid w:val="005637A3"/>
    <w:rsid w:val="00564692"/>
    <w:rsid w:val="00566D4F"/>
    <w:rsid w:val="00566F2F"/>
    <w:rsid w:val="005719B8"/>
    <w:rsid w:val="00571CF5"/>
    <w:rsid w:val="005721BC"/>
    <w:rsid w:val="00572592"/>
    <w:rsid w:val="00575B41"/>
    <w:rsid w:val="005766C8"/>
    <w:rsid w:val="00577236"/>
    <w:rsid w:val="00577831"/>
    <w:rsid w:val="00580C03"/>
    <w:rsid w:val="00581F12"/>
    <w:rsid w:val="00582BB6"/>
    <w:rsid w:val="0058332B"/>
    <w:rsid w:val="005849A6"/>
    <w:rsid w:val="00584C81"/>
    <w:rsid w:val="00585BBD"/>
    <w:rsid w:val="00586BF9"/>
    <w:rsid w:val="00586C1E"/>
    <w:rsid w:val="00586FCF"/>
    <w:rsid w:val="00590C7A"/>
    <w:rsid w:val="00591FF3"/>
    <w:rsid w:val="005938F4"/>
    <w:rsid w:val="00593A1A"/>
    <w:rsid w:val="005A01A5"/>
    <w:rsid w:val="005A0C77"/>
    <w:rsid w:val="005A1B1C"/>
    <w:rsid w:val="005A28FF"/>
    <w:rsid w:val="005A619C"/>
    <w:rsid w:val="005A6675"/>
    <w:rsid w:val="005A667D"/>
    <w:rsid w:val="005A7EA9"/>
    <w:rsid w:val="005B284C"/>
    <w:rsid w:val="005B3D57"/>
    <w:rsid w:val="005B5E31"/>
    <w:rsid w:val="005B7171"/>
    <w:rsid w:val="005C31DD"/>
    <w:rsid w:val="005C434B"/>
    <w:rsid w:val="005D0A16"/>
    <w:rsid w:val="005D3EDE"/>
    <w:rsid w:val="005D4817"/>
    <w:rsid w:val="005D4AE4"/>
    <w:rsid w:val="005D52F5"/>
    <w:rsid w:val="005D6E76"/>
    <w:rsid w:val="005D71D0"/>
    <w:rsid w:val="005E0856"/>
    <w:rsid w:val="005E0F0A"/>
    <w:rsid w:val="005E2447"/>
    <w:rsid w:val="005E4A93"/>
    <w:rsid w:val="005E515A"/>
    <w:rsid w:val="005E6E15"/>
    <w:rsid w:val="005F04C2"/>
    <w:rsid w:val="005F1859"/>
    <w:rsid w:val="005F1915"/>
    <w:rsid w:val="005F39E5"/>
    <w:rsid w:val="005F46E1"/>
    <w:rsid w:val="005F632F"/>
    <w:rsid w:val="005F6854"/>
    <w:rsid w:val="005F71FD"/>
    <w:rsid w:val="006004C3"/>
    <w:rsid w:val="006006A7"/>
    <w:rsid w:val="0060322B"/>
    <w:rsid w:val="006047F9"/>
    <w:rsid w:val="00605125"/>
    <w:rsid w:val="00605591"/>
    <w:rsid w:val="0061073E"/>
    <w:rsid w:val="00610B2A"/>
    <w:rsid w:val="00610BA2"/>
    <w:rsid w:val="0061109F"/>
    <w:rsid w:val="00611AF4"/>
    <w:rsid w:val="00612C8A"/>
    <w:rsid w:val="00613EB8"/>
    <w:rsid w:val="00614027"/>
    <w:rsid w:val="00614789"/>
    <w:rsid w:val="00616CB0"/>
    <w:rsid w:val="00620238"/>
    <w:rsid w:val="006218BA"/>
    <w:rsid w:val="00621EF3"/>
    <w:rsid w:val="006238E6"/>
    <w:rsid w:val="00623C20"/>
    <w:rsid w:val="00626DA1"/>
    <w:rsid w:val="0063288B"/>
    <w:rsid w:val="00633307"/>
    <w:rsid w:val="00634C2F"/>
    <w:rsid w:val="00634C65"/>
    <w:rsid w:val="00634D82"/>
    <w:rsid w:val="006365B8"/>
    <w:rsid w:val="0063735D"/>
    <w:rsid w:val="006409B7"/>
    <w:rsid w:val="00640D78"/>
    <w:rsid w:val="00640DB9"/>
    <w:rsid w:val="00642F3C"/>
    <w:rsid w:val="0064325F"/>
    <w:rsid w:val="00650641"/>
    <w:rsid w:val="00652AC3"/>
    <w:rsid w:val="006538BF"/>
    <w:rsid w:val="00653B32"/>
    <w:rsid w:val="00655B52"/>
    <w:rsid w:val="00660C67"/>
    <w:rsid w:val="006611AE"/>
    <w:rsid w:val="00661A22"/>
    <w:rsid w:val="00662275"/>
    <w:rsid w:val="0066239F"/>
    <w:rsid w:val="00664931"/>
    <w:rsid w:val="0066583F"/>
    <w:rsid w:val="006658D6"/>
    <w:rsid w:val="00665902"/>
    <w:rsid w:val="00667EA9"/>
    <w:rsid w:val="00672977"/>
    <w:rsid w:val="00672AFC"/>
    <w:rsid w:val="00672B45"/>
    <w:rsid w:val="00672B57"/>
    <w:rsid w:val="0067573E"/>
    <w:rsid w:val="00676416"/>
    <w:rsid w:val="00681AA7"/>
    <w:rsid w:val="00683B5E"/>
    <w:rsid w:val="006862C2"/>
    <w:rsid w:val="006866C0"/>
    <w:rsid w:val="00687781"/>
    <w:rsid w:val="00687CAB"/>
    <w:rsid w:val="00690FDA"/>
    <w:rsid w:val="00691382"/>
    <w:rsid w:val="00696F77"/>
    <w:rsid w:val="00697123"/>
    <w:rsid w:val="006A328D"/>
    <w:rsid w:val="006A3B60"/>
    <w:rsid w:val="006A40A1"/>
    <w:rsid w:val="006A42EB"/>
    <w:rsid w:val="006A4442"/>
    <w:rsid w:val="006A63BF"/>
    <w:rsid w:val="006A6417"/>
    <w:rsid w:val="006A6DDA"/>
    <w:rsid w:val="006A7300"/>
    <w:rsid w:val="006B04FD"/>
    <w:rsid w:val="006B0C8D"/>
    <w:rsid w:val="006B3DCF"/>
    <w:rsid w:val="006B5216"/>
    <w:rsid w:val="006B5926"/>
    <w:rsid w:val="006B60E3"/>
    <w:rsid w:val="006B67F6"/>
    <w:rsid w:val="006B74BA"/>
    <w:rsid w:val="006B7660"/>
    <w:rsid w:val="006C079B"/>
    <w:rsid w:val="006C0982"/>
    <w:rsid w:val="006C0EC2"/>
    <w:rsid w:val="006C1BF0"/>
    <w:rsid w:val="006C36E9"/>
    <w:rsid w:val="006C5087"/>
    <w:rsid w:val="006D0EC3"/>
    <w:rsid w:val="006D23FB"/>
    <w:rsid w:val="006D2634"/>
    <w:rsid w:val="006D6CF8"/>
    <w:rsid w:val="006E0665"/>
    <w:rsid w:val="006E285C"/>
    <w:rsid w:val="006E5315"/>
    <w:rsid w:val="006F080E"/>
    <w:rsid w:val="006F16A3"/>
    <w:rsid w:val="006F3D82"/>
    <w:rsid w:val="006F4D80"/>
    <w:rsid w:val="006F5EE7"/>
    <w:rsid w:val="006F64F6"/>
    <w:rsid w:val="006F67FC"/>
    <w:rsid w:val="00701060"/>
    <w:rsid w:val="0070181F"/>
    <w:rsid w:val="00701859"/>
    <w:rsid w:val="00702BB0"/>
    <w:rsid w:val="007066FB"/>
    <w:rsid w:val="00707F46"/>
    <w:rsid w:val="007105CC"/>
    <w:rsid w:val="00714DBC"/>
    <w:rsid w:val="00714E5D"/>
    <w:rsid w:val="00717697"/>
    <w:rsid w:val="00717882"/>
    <w:rsid w:val="00721357"/>
    <w:rsid w:val="00721472"/>
    <w:rsid w:val="00723979"/>
    <w:rsid w:val="00723C67"/>
    <w:rsid w:val="00724AFC"/>
    <w:rsid w:val="00724E4D"/>
    <w:rsid w:val="007263EE"/>
    <w:rsid w:val="00730725"/>
    <w:rsid w:val="00731FB5"/>
    <w:rsid w:val="00733469"/>
    <w:rsid w:val="007341F0"/>
    <w:rsid w:val="00737036"/>
    <w:rsid w:val="007371A4"/>
    <w:rsid w:val="0074203E"/>
    <w:rsid w:val="007422D3"/>
    <w:rsid w:val="0074379A"/>
    <w:rsid w:val="0074531B"/>
    <w:rsid w:val="00745A17"/>
    <w:rsid w:val="007467A3"/>
    <w:rsid w:val="00746821"/>
    <w:rsid w:val="00747003"/>
    <w:rsid w:val="00751027"/>
    <w:rsid w:val="00752BD5"/>
    <w:rsid w:val="00753C21"/>
    <w:rsid w:val="00754023"/>
    <w:rsid w:val="00754458"/>
    <w:rsid w:val="00755C12"/>
    <w:rsid w:val="00756DD5"/>
    <w:rsid w:val="00757DBD"/>
    <w:rsid w:val="0076204B"/>
    <w:rsid w:val="00762B7E"/>
    <w:rsid w:val="007636E4"/>
    <w:rsid w:val="007637F7"/>
    <w:rsid w:val="007706D5"/>
    <w:rsid w:val="00770AC5"/>
    <w:rsid w:val="00773A50"/>
    <w:rsid w:val="00774A81"/>
    <w:rsid w:val="00774C3D"/>
    <w:rsid w:val="007757CB"/>
    <w:rsid w:val="007779AB"/>
    <w:rsid w:val="00780510"/>
    <w:rsid w:val="0078156D"/>
    <w:rsid w:val="00781D59"/>
    <w:rsid w:val="00781F4F"/>
    <w:rsid w:val="007824AE"/>
    <w:rsid w:val="0078338B"/>
    <w:rsid w:val="007833B6"/>
    <w:rsid w:val="0078480E"/>
    <w:rsid w:val="00786E2B"/>
    <w:rsid w:val="0079136F"/>
    <w:rsid w:val="007913D4"/>
    <w:rsid w:val="00792BE3"/>
    <w:rsid w:val="00793447"/>
    <w:rsid w:val="00793C3A"/>
    <w:rsid w:val="007944E3"/>
    <w:rsid w:val="00796094"/>
    <w:rsid w:val="00796216"/>
    <w:rsid w:val="007A3F2A"/>
    <w:rsid w:val="007A4945"/>
    <w:rsid w:val="007A5069"/>
    <w:rsid w:val="007A6498"/>
    <w:rsid w:val="007B213C"/>
    <w:rsid w:val="007B234B"/>
    <w:rsid w:val="007B44CC"/>
    <w:rsid w:val="007B7A36"/>
    <w:rsid w:val="007B7C39"/>
    <w:rsid w:val="007C17D1"/>
    <w:rsid w:val="007C1879"/>
    <w:rsid w:val="007C3436"/>
    <w:rsid w:val="007C4291"/>
    <w:rsid w:val="007D1E7D"/>
    <w:rsid w:val="007D1FBE"/>
    <w:rsid w:val="007D23D9"/>
    <w:rsid w:val="007D2689"/>
    <w:rsid w:val="007D355C"/>
    <w:rsid w:val="007E026F"/>
    <w:rsid w:val="007E107C"/>
    <w:rsid w:val="007E2227"/>
    <w:rsid w:val="007E2F5B"/>
    <w:rsid w:val="007E311F"/>
    <w:rsid w:val="007F12CD"/>
    <w:rsid w:val="007F6BA2"/>
    <w:rsid w:val="007F722B"/>
    <w:rsid w:val="00802882"/>
    <w:rsid w:val="00804920"/>
    <w:rsid w:val="00805619"/>
    <w:rsid w:val="00805CC8"/>
    <w:rsid w:val="00805FCA"/>
    <w:rsid w:val="00807410"/>
    <w:rsid w:val="008136E8"/>
    <w:rsid w:val="00817EFC"/>
    <w:rsid w:val="0082017C"/>
    <w:rsid w:val="00820F41"/>
    <w:rsid w:val="008213D3"/>
    <w:rsid w:val="00821486"/>
    <w:rsid w:val="008252B8"/>
    <w:rsid w:val="0082627D"/>
    <w:rsid w:val="00830019"/>
    <w:rsid w:val="008310A2"/>
    <w:rsid w:val="00831213"/>
    <w:rsid w:val="008368BB"/>
    <w:rsid w:val="00837018"/>
    <w:rsid w:val="008403C6"/>
    <w:rsid w:val="008438C3"/>
    <w:rsid w:val="008460E6"/>
    <w:rsid w:val="00850969"/>
    <w:rsid w:val="008523F5"/>
    <w:rsid w:val="0085265E"/>
    <w:rsid w:val="008527A8"/>
    <w:rsid w:val="00854C46"/>
    <w:rsid w:val="00855899"/>
    <w:rsid w:val="00857C0B"/>
    <w:rsid w:val="008604E1"/>
    <w:rsid w:val="008608C3"/>
    <w:rsid w:val="00862624"/>
    <w:rsid w:val="00863786"/>
    <w:rsid w:val="008641EA"/>
    <w:rsid w:val="00864A2D"/>
    <w:rsid w:val="0086671E"/>
    <w:rsid w:val="0087532E"/>
    <w:rsid w:val="00876658"/>
    <w:rsid w:val="00881A30"/>
    <w:rsid w:val="0088516F"/>
    <w:rsid w:val="00885199"/>
    <w:rsid w:val="00886DE6"/>
    <w:rsid w:val="00887540"/>
    <w:rsid w:val="00891F97"/>
    <w:rsid w:val="00893457"/>
    <w:rsid w:val="00893856"/>
    <w:rsid w:val="008939F5"/>
    <w:rsid w:val="00893A18"/>
    <w:rsid w:val="00895C2A"/>
    <w:rsid w:val="00896ADC"/>
    <w:rsid w:val="008975A0"/>
    <w:rsid w:val="008A07F2"/>
    <w:rsid w:val="008A1FFA"/>
    <w:rsid w:val="008A3847"/>
    <w:rsid w:val="008A4EC0"/>
    <w:rsid w:val="008A5902"/>
    <w:rsid w:val="008A5D98"/>
    <w:rsid w:val="008B028E"/>
    <w:rsid w:val="008B1339"/>
    <w:rsid w:val="008B637F"/>
    <w:rsid w:val="008B71C5"/>
    <w:rsid w:val="008B7A25"/>
    <w:rsid w:val="008C01B2"/>
    <w:rsid w:val="008C0772"/>
    <w:rsid w:val="008C2E66"/>
    <w:rsid w:val="008C4654"/>
    <w:rsid w:val="008C5794"/>
    <w:rsid w:val="008C6CB2"/>
    <w:rsid w:val="008D1937"/>
    <w:rsid w:val="008D1F18"/>
    <w:rsid w:val="008D28F1"/>
    <w:rsid w:val="008D421E"/>
    <w:rsid w:val="008D6CB6"/>
    <w:rsid w:val="008D7C8A"/>
    <w:rsid w:val="008E2654"/>
    <w:rsid w:val="008E2CD3"/>
    <w:rsid w:val="008E3957"/>
    <w:rsid w:val="008E4EF4"/>
    <w:rsid w:val="008E57FE"/>
    <w:rsid w:val="008E61A4"/>
    <w:rsid w:val="008E62A6"/>
    <w:rsid w:val="008E7AFA"/>
    <w:rsid w:val="008F0566"/>
    <w:rsid w:val="008F1F8A"/>
    <w:rsid w:val="008F2E1E"/>
    <w:rsid w:val="008F44BE"/>
    <w:rsid w:val="008F5CDD"/>
    <w:rsid w:val="00901367"/>
    <w:rsid w:val="009044F2"/>
    <w:rsid w:val="009054C5"/>
    <w:rsid w:val="009058F8"/>
    <w:rsid w:val="0091082F"/>
    <w:rsid w:val="00912875"/>
    <w:rsid w:val="009140F2"/>
    <w:rsid w:val="009151DC"/>
    <w:rsid w:val="009165F8"/>
    <w:rsid w:val="00917D1B"/>
    <w:rsid w:val="00921825"/>
    <w:rsid w:val="0092287A"/>
    <w:rsid w:val="00923602"/>
    <w:rsid w:val="00923E22"/>
    <w:rsid w:val="00923FF3"/>
    <w:rsid w:val="009249F5"/>
    <w:rsid w:val="00924CE4"/>
    <w:rsid w:val="00924F43"/>
    <w:rsid w:val="00927A77"/>
    <w:rsid w:val="00930BE7"/>
    <w:rsid w:val="00930EE2"/>
    <w:rsid w:val="00931062"/>
    <w:rsid w:val="00934BB1"/>
    <w:rsid w:val="00935D84"/>
    <w:rsid w:val="0094019D"/>
    <w:rsid w:val="00940460"/>
    <w:rsid w:val="00940D23"/>
    <w:rsid w:val="00941306"/>
    <w:rsid w:val="00941532"/>
    <w:rsid w:val="00941DDE"/>
    <w:rsid w:val="00943CE1"/>
    <w:rsid w:val="0094485C"/>
    <w:rsid w:val="00947F67"/>
    <w:rsid w:val="00952BF9"/>
    <w:rsid w:val="00960495"/>
    <w:rsid w:val="009609A6"/>
    <w:rsid w:val="0096150D"/>
    <w:rsid w:val="00961F50"/>
    <w:rsid w:val="0096472F"/>
    <w:rsid w:val="009656DD"/>
    <w:rsid w:val="0097097D"/>
    <w:rsid w:val="009726DE"/>
    <w:rsid w:val="00972D2E"/>
    <w:rsid w:val="00973930"/>
    <w:rsid w:val="0097422E"/>
    <w:rsid w:val="00976707"/>
    <w:rsid w:val="00980786"/>
    <w:rsid w:val="00981E70"/>
    <w:rsid w:val="00985B23"/>
    <w:rsid w:val="00990B6B"/>
    <w:rsid w:val="00992678"/>
    <w:rsid w:val="00993119"/>
    <w:rsid w:val="009934BC"/>
    <w:rsid w:val="00993A40"/>
    <w:rsid w:val="00997EE3"/>
    <w:rsid w:val="009A0570"/>
    <w:rsid w:val="009A498E"/>
    <w:rsid w:val="009A7654"/>
    <w:rsid w:val="009B3D64"/>
    <w:rsid w:val="009B44A0"/>
    <w:rsid w:val="009B64D7"/>
    <w:rsid w:val="009C0901"/>
    <w:rsid w:val="009C2110"/>
    <w:rsid w:val="009C63CC"/>
    <w:rsid w:val="009C64DB"/>
    <w:rsid w:val="009D129C"/>
    <w:rsid w:val="009D26E7"/>
    <w:rsid w:val="009D6CC2"/>
    <w:rsid w:val="009D7836"/>
    <w:rsid w:val="009E0140"/>
    <w:rsid w:val="009E26D4"/>
    <w:rsid w:val="009E34E1"/>
    <w:rsid w:val="009E5160"/>
    <w:rsid w:val="009E63A6"/>
    <w:rsid w:val="009F07AC"/>
    <w:rsid w:val="009F2135"/>
    <w:rsid w:val="009F3B55"/>
    <w:rsid w:val="009F5A34"/>
    <w:rsid w:val="00A01A6C"/>
    <w:rsid w:val="00A025D3"/>
    <w:rsid w:val="00A02E04"/>
    <w:rsid w:val="00A044DF"/>
    <w:rsid w:val="00A0790A"/>
    <w:rsid w:val="00A1126D"/>
    <w:rsid w:val="00A11350"/>
    <w:rsid w:val="00A115D6"/>
    <w:rsid w:val="00A12FED"/>
    <w:rsid w:val="00A216EF"/>
    <w:rsid w:val="00A22094"/>
    <w:rsid w:val="00A2237B"/>
    <w:rsid w:val="00A264C7"/>
    <w:rsid w:val="00A27759"/>
    <w:rsid w:val="00A309E7"/>
    <w:rsid w:val="00A314DC"/>
    <w:rsid w:val="00A324A0"/>
    <w:rsid w:val="00A33631"/>
    <w:rsid w:val="00A362DB"/>
    <w:rsid w:val="00A36E68"/>
    <w:rsid w:val="00A401F7"/>
    <w:rsid w:val="00A44260"/>
    <w:rsid w:val="00A45494"/>
    <w:rsid w:val="00A46B5D"/>
    <w:rsid w:val="00A508EE"/>
    <w:rsid w:val="00A516E5"/>
    <w:rsid w:val="00A517D2"/>
    <w:rsid w:val="00A534BE"/>
    <w:rsid w:val="00A53600"/>
    <w:rsid w:val="00A53852"/>
    <w:rsid w:val="00A55CFA"/>
    <w:rsid w:val="00A56A0F"/>
    <w:rsid w:val="00A64597"/>
    <w:rsid w:val="00A65151"/>
    <w:rsid w:val="00A65443"/>
    <w:rsid w:val="00A66138"/>
    <w:rsid w:val="00A711D6"/>
    <w:rsid w:val="00A72C03"/>
    <w:rsid w:val="00A74170"/>
    <w:rsid w:val="00A75626"/>
    <w:rsid w:val="00A76B94"/>
    <w:rsid w:val="00A774B4"/>
    <w:rsid w:val="00A812C8"/>
    <w:rsid w:val="00A81FB7"/>
    <w:rsid w:val="00A927BA"/>
    <w:rsid w:val="00A92986"/>
    <w:rsid w:val="00A9314E"/>
    <w:rsid w:val="00A93889"/>
    <w:rsid w:val="00A968DF"/>
    <w:rsid w:val="00A97E76"/>
    <w:rsid w:val="00A97EF2"/>
    <w:rsid w:val="00AA0FCD"/>
    <w:rsid w:val="00AA2550"/>
    <w:rsid w:val="00AA2618"/>
    <w:rsid w:val="00AA5189"/>
    <w:rsid w:val="00AA51BF"/>
    <w:rsid w:val="00AA528B"/>
    <w:rsid w:val="00AB0CA4"/>
    <w:rsid w:val="00AB5624"/>
    <w:rsid w:val="00AB6D88"/>
    <w:rsid w:val="00AB6DFE"/>
    <w:rsid w:val="00AB72E7"/>
    <w:rsid w:val="00AC08BD"/>
    <w:rsid w:val="00AC4754"/>
    <w:rsid w:val="00AC5BEF"/>
    <w:rsid w:val="00AC70A7"/>
    <w:rsid w:val="00AD01E4"/>
    <w:rsid w:val="00AD1AD4"/>
    <w:rsid w:val="00AD25FB"/>
    <w:rsid w:val="00AD26C7"/>
    <w:rsid w:val="00AD3AD6"/>
    <w:rsid w:val="00AD6C3B"/>
    <w:rsid w:val="00AD7184"/>
    <w:rsid w:val="00AE14AF"/>
    <w:rsid w:val="00AE4FA2"/>
    <w:rsid w:val="00AE72C2"/>
    <w:rsid w:val="00AF0B07"/>
    <w:rsid w:val="00AF1B47"/>
    <w:rsid w:val="00AF1D99"/>
    <w:rsid w:val="00AF2D44"/>
    <w:rsid w:val="00AF4FC0"/>
    <w:rsid w:val="00AF5288"/>
    <w:rsid w:val="00AF5E31"/>
    <w:rsid w:val="00B0136A"/>
    <w:rsid w:val="00B035F8"/>
    <w:rsid w:val="00B03B61"/>
    <w:rsid w:val="00B03CCC"/>
    <w:rsid w:val="00B0704E"/>
    <w:rsid w:val="00B10950"/>
    <w:rsid w:val="00B10DD9"/>
    <w:rsid w:val="00B12104"/>
    <w:rsid w:val="00B121FF"/>
    <w:rsid w:val="00B12405"/>
    <w:rsid w:val="00B13F95"/>
    <w:rsid w:val="00B1493B"/>
    <w:rsid w:val="00B14A65"/>
    <w:rsid w:val="00B1531F"/>
    <w:rsid w:val="00B15D82"/>
    <w:rsid w:val="00B226C6"/>
    <w:rsid w:val="00B226E7"/>
    <w:rsid w:val="00B26CFF"/>
    <w:rsid w:val="00B27B82"/>
    <w:rsid w:val="00B27D62"/>
    <w:rsid w:val="00B30974"/>
    <w:rsid w:val="00B313D2"/>
    <w:rsid w:val="00B31B0E"/>
    <w:rsid w:val="00B3309C"/>
    <w:rsid w:val="00B35417"/>
    <w:rsid w:val="00B36AF7"/>
    <w:rsid w:val="00B40985"/>
    <w:rsid w:val="00B43577"/>
    <w:rsid w:val="00B43B37"/>
    <w:rsid w:val="00B43B64"/>
    <w:rsid w:val="00B4404C"/>
    <w:rsid w:val="00B44BC2"/>
    <w:rsid w:val="00B461F2"/>
    <w:rsid w:val="00B507E4"/>
    <w:rsid w:val="00B5113D"/>
    <w:rsid w:val="00B532A4"/>
    <w:rsid w:val="00B53433"/>
    <w:rsid w:val="00B554F0"/>
    <w:rsid w:val="00B56188"/>
    <w:rsid w:val="00B6083F"/>
    <w:rsid w:val="00B60C08"/>
    <w:rsid w:val="00B61E5A"/>
    <w:rsid w:val="00B63145"/>
    <w:rsid w:val="00B672AE"/>
    <w:rsid w:val="00B67431"/>
    <w:rsid w:val="00B71F3E"/>
    <w:rsid w:val="00B72512"/>
    <w:rsid w:val="00B731B3"/>
    <w:rsid w:val="00B73C1F"/>
    <w:rsid w:val="00B7638D"/>
    <w:rsid w:val="00B77E4B"/>
    <w:rsid w:val="00B808A5"/>
    <w:rsid w:val="00B82B7E"/>
    <w:rsid w:val="00B83133"/>
    <w:rsid w:val="00B86A07"/>
    <w:rsid w:val="00B870EC"/>
    <w:rsid w:val="00B8783D"/>
    <w:rsid w:val="00B90244"/>
    <w:rsid w:val="00B9026C"/>
    <w:rsid w:val="00B902C4"/>
    <w:rsid w:val="00B90918"/>
    <w:rsid w:val="00B91ADD"/>
    <w:rsid w:val="00B94635"/>
    <w:rsid w:val="00B947AB"/>
    <w:rsid w:val="00B970FC"/>
    <w:rsid w:val="00B979ED"/>
    <w:rsid w:val="00BA1854"/>
    <w:rsid w:val="00BA2BDB"/>
    <w:rsid w:val="00BA660A"/>
    <w:rsid w:val="00BB015F"/>
    <w:rsid w:val="00BB3500"/>
    <w:rsid w:val="00BB3D58"/>
    <w:rsid w:val="00BC4DD1"/>
    <w:rsid w:val="00BC6CEF"/>
    <w:rsid w:val="00BC75F0"/>
    <w:rsid w:val="00BD33B9"/>
    <w:rsid w:val="00BD5A0C"/>
    <w:rsid w:val="00BE0E9D"/>
    <w:rsid w:val="00BE1EB8"/>
    <w:rsid w:val="00BE29EF"/>
    <w:rsid w:val="00BE2FA4"/>
    <w:rsid w:val="00BE4B5E"/>
    <w:rsid w:val="00BE6DDF"/>
    <w:rsid w:val="00BE6E81"/>
    <w:rsid w:val="00BE759B"/>
    <w:rsid w:val="00BF0AE3"/>
    <w:rsid w:val="00BF0DAF"/>
    <w:rsid w:val="00BF5E0B"/>
    <w:rsid w:val="00BF6021"/>
    <w:rsid w:val="00C014BA"/>
    <w:rsid w:val="00C01BD5"/>
    <w:rsid w:val="00C02ADE"/>
    <w:rsid w:val="00C043C0"/>
    <w:rsid w:val="00C05607"/>
    <w:rsid w:val="00C1117A"/>
    <w:rsid w:val="00C1188F"/>
    <w:rsid w:val="00C138DC"/>
    <w:rsid w:val="00C17770"/>
    <w:rsid w:val="00C177BA"/>
    <w:rsid w:val="00C207C7"/>
    <w:rsid w:val="00C21550"/>
    <w:rsid w:val="00C21D99"/>
    <w:rsid w:val="00C224C5"/>
    <w:rsid w:val="00C230FB"/>
    <w:rsid w:val="00C24184"/>
    <w:rsid w:val="00C25387"/>
    <w:rsid w:val="00C25467"/>
    <w:rsid w:val="00C30121"/>
    <w:rsid w:val="00C308DB"/>
    <w:rsid w:val="00C32F79"/>
    <w:rsid w:val="00C40913"/>
    <w:rsid w:val="00C41D32"/>
    <w:rsid w:val="00C4547F"/>
    <w:rsid w:val="00C466F1"/>
    <w:rsid w:val="00C50904"/>
    <w:rsid w:val="00C512BB"/>
    <w:rsid w:val="00C532AD"/>
    <w:rsid w:val="00C54085"/>
    <w:rsid w:val="00C54204"/>
    <w:rsid w:val="00C54ACE"/>
    <w:rsid w:val="00C54AFA"/>
    <w:rsid w:val="00C56C54"/>
    <w:rsid w:val="00C57B51"/>
    <w:rsid w:val="00C60A7A"/>
    <w:rsid w:val="00C6267E"/>
    <w:rsid w:val="00C630F8"/>
    <w:rsid w:val="00C63BE5"/>
    <w:rsid w:val="00C64354"/>
    <w:rsid w:val="00C66899"/>
    <w:rsid w:val="00C676CB"/>
    <w:rsid w:val="00C72679"/>
    <w:rsid w:val="00C7294D"/>
    <w:rsid w:val="00C7704C"/>
    <w:rsid w:val="00C819AC"/>
    <w:rsid w:val="00C8687F"/>
    <w:rsid w:val="00C8770F"/>
    <w:rsid w:val="00C9510B"/>
    <w:rsid w:val="00C95D2E"/>
    <w:rsid w:val="00CA05F6"/>
    <w:rsid w:val="00CA1229"/>
    <w:rsid w:val="00CA6196"/>
    <w:rsid w:val="00CA62FD"/>
    <w:rsid w:val="00CA729C"/>
    <w:rsid w:val="00CB26C4"/>
    <w:rsid w:val="00CB31F1"/>
    <w:rsid w:val="00CB3D9D"/>
    <w:rsid w:val="00CB43BB"/>
    <w:rsid w:val="00CB4E4C"/>
    <w:rsid w:val="00CB558C"/>
    <w:rsid w:val="00CB7066"/>
    <w:rsid w:val="00CB7D0E"/>
    <w:rsid w:val="00CC3031"/>
    <w:rsid w:val="00CC4AC4"/>
    <w:rsid w:val="00CC7000"/>
    <w:rsid w:val="00CC7100"/>
    <w:rsid w:val="00CD3657"/>
    <w:rsid w:val="00CD488B"/>
    <w:rsid w:val="00CD5034"/>
    <w:rsid w:val="00CD622A"/>
    <w:rsid w:val="00CD674E"/>
    <w:rsid w:val="00CE4D81"/>
    <w:rsid w:val="00CE5CC0"/>
    <w:rsid w:val="00CE61A8"/>
    <w:rsid w:val="00CF15D3"/>
    <w:rsid w:val="00CF2BE6"/>
    <w:rsid w:val="00CF2F9E"/>
    <w:rsid w:val="00CF313A"/>
    <w:rsid w:val="00CF588D"/>
    <w:rsid w:val="00CF6ADA"/>
    <w:rsid w:val="00CF6FBC"/>
    <w:rsid w:val="00D013E7"/>
    <w:rsid w:val="00D01E0E"/>
    <w:rsid w:val="00D0386A"/>
    <w:rsid w:val="00D04B8F"/>
    <w:rsid w:val="00D04BE1"/>
    <w:rsid w:val="00D05FCA"/>
    <w:rsid w:val="00D12047"/>
    <w:rsid w:val="00D1425D"/>
    <w:rsid w:val="00D150D2"/>
    <w:rsid w:val="00D20A2C"/>
    <w:rsid w:val="00D2153D"/>
    <w:rsid w:val="00D225B9"/>
    <w:rsid w:val="00D2381E"/>
    <w:rsid w:val="00D24C93"/>
    <w:rsid w:val="00D255AE"/>
    <w:rsid w:val="00D258DB"/>
    <w:rsid w:val="00D2640B"/>
    <w:rsid w:val="00D3479C"/>
    <w:rsid w:val="00D37FE1"/>
    <w:rsid w:val="00D4012B"/>
    <w:rsid w:val="00D4128B"/>
    <w:rsid w:val="00D41900"/>
    <w:rsid w:val="00D43E5D"/>
    <w:rsid w:val="00D44E99"/>
    <w:rsid w:val="00D50155"/>
    <w:rsid w:val="00D5188E"/>
    <w:rsid w:val="00D54A7B"/>
    <w:rsid w:val="00D573CB"/>
    <w:rsid w:val="00D62F6D"/>
    <w:rsid w:val="00D63405"/>
    <w:rsid w:val="00D63F77"/>
    <w:rsid w:val="00D64A86"/>
    <w:rsid w:val="00D66576"/>
    <w:rsid w:val="00D713B1"/>
    <w:rsid w:val="00D76F1D"/>
    <w:rsid w:val="00D77826"/>
    <w:rsid w:val="00D80177"/>
    <w:rsid w:val="00D84B33"/>
    <w:rsid w:val="00D84B4F"/>
    <w:rsid w:val="00D84D35"/>
    <w:rsid w:val="00D85E67"/>
    <w:rsid w:val="00D8614C"/>
    <w:rsid w:val="00D86223"/>
    <w:rsid w:val="00D86B84"/>
    <w:rsid w:val="00D92311"/>
    <w:rsid w:val="00D96CB7"/>
    <w:rsid w:val="00D97A61"/>
    <w:rsid w:val="00DA1ACA"/>
    <w:rsid w:val="00DA4CFE"/>
    <w:rsid w:val="00DA6413"/>
    <w:rsid w:val="00DA7645"/>
    <w:rsid w:val="00DB01CF"/>
    <w:rsid w:val="00DB2A34"/>
    <w:rsid w:val="00DB5118"/>
    <w:rsid w:val="00DB582C"/>
    <w:rsid w:val="00DB6462"/>
    <w:rsid w:val="00DB7585"/>
    <w:rsid w:val="00DC15F2"/>
    <w:rsid w:val="00DC23F3"/>
    <w:rsid w:val="00DC29B0"/>
    <w:rsid w:val="00DC4984"/>
    <w:rsid w:val="00DC568C"/>
    <w:rsid w:val="00DD0FF7"/>
    <w:rsid w:val="00DD3591"/>
    <w:rsid w:val="00DD6F05"/>
    <w:rsid w:val="00DE0105"/>
    <w:rsid w:val="00DE02A5"/>
    <w:rsid w:val="00DE21DC"/>
    <w:rsid w:val="00DE44E1"/>
    <w:rsid w:val="00DE5443"/>
    <w:rsid w:val="00DE6FEA"/>
    <w:rsid w:val="00DF14B3"/>
    <w:rsid w:val="00DF2B9E"/>
    <w:rsid w:val="00DF59F9"/>
    <w:rsid w:val="00DF5DCD"/>
    <w:rsid w:val="00E013B8"/>
    <w:rsid w:val="00E02FE5"/>
    <w:rsid w:val="00E036CA"/>
    <w:rsid w:val="00E045DC"/>
    <w:rsid w:val="00E04EDC"/>
    <w:rsid w:val="00E06EDA"/>
    <w:rsid w:val="00E11F01"/>
    <w:rsid w:val="00E12908"/>
    <w:rsid w:val="00E146F6"/>
    <w:rsid w:val="00E15100"/>
    <w:rsid w:val="00E161B2"/>
    <w:rsid w:val="00E17DB0"/>
    <w:rsid w:val="00E21F00"/>
    <w:rsid w:val="00E220CA"/>
    <w:rsid w:val="00E22B46"/>
    <w:rsid w:val="00E23297"/>
    <w:rsid w:val="00E23BA8"/>
    <w:rsid w:val="00E25AF4"/>
    <w:rsid w:val="00E25B0C"/>
    <w:rsid w:val="00E26BD3"/>
    <w:rsid w:val="00E27810"/>
    <w:rsid w:val="00E27AF4"/>
    <w:rsid w:val="00E33184"/>
    <w:rsid w:val="00E338DF"/>
    <w:rsid w:val="00E34386"/>
    <w:rsid w:val="00E34DF2"/>
    <w:rsid w:val="00E36291"/>
    <w:rsid w:val="00E37ACB"/>
    <w:rsid w:val="00E41689"/>
    <w:rsid w:val="00E41B82"/>
    <w:rsid w:val="00E420E1"/>
    <w:rsid w:val="00E4258F"/>
    <w:rsid w:val="00E461C2"/>
    <w:rsid w:val="00E46F21"/>
    <w:rsid w:val="00E50AF8"/>
    <w:rsid w:val="00E51D07"/>
    <w:rsid w:val="00E53563"/>
    <w:rsid w:val="00E54E08"/>
    <w:rsid w:val="00E54FB7"/>
    <w:rsid w:val="00E56215"/>
    <w:rsid w:val="00E56600"/>
    <w:rsid w:val="00E56C64"/>
    <w:rsid w:val="00E60D94"/>
    <w:rsid w:val="00E61148"/>
    <w:rsid w:val="00E6398B"/>
    <w:rsid w:val="00E64BE4"/>
    <w:rsid w:val="00E65F58"/>
    <w:rsid w:val="00E66111"/>
    <w:rsid w:val="00E7044F"/>
    <w:rsid w:val="00E710EA"/>
    <w:rsid w:val="00E71671"/>
    <w:rsid w:val="00E75784"/>
    <w:rsid w:val="00E810D7"/>
    <w:rsid w:val="00E85349"/>
    <w:rsid w:val="00E868FB"/>
    <w:rsid w:val="00E92AA3"/>
    <w:rsid w:val="00E94597"/>
    <w:rsid w:val="00E97E36"/>
    <w:rsid w:val="00EA23DB"/>
    <w:rsid w:val="00EA7796"/>
    <w:rsid w:val="00EB2DB6"/>
    <w:rsid w:val="00EB4A54"/>
    <w:rsid w:val="00EC14A2"/>
    <w:rsid w:val="00EC4EA9"/>
    <w:rsid w:val="00EC5B6C"/>
    <w:rsid w:val="00EC7E61"/>
    <w:rsid w:val="00ED2296"/>
    <w:rsid w:val="00ED2F38"/>
    <w:rsid w:val="00ED3E46"/>
    <w:rsid w:val="00ED41E6"/>
    <w:rsid w:val="00ED4A8F"/>
    <w:rsid w:val="00ED4DF1"/>
    <w:rsid w:val="00ED60F1"/>
    <w:rsid w:val="00EE0B24"/>
    <w:rsid w:val="00EE0D44"/>
    <w:rsid w:val="00EE140D"/>
    <w:rsid w:val="00EE2B95"/>
    <w:rsid w:val="00EE3DE6"/>
    <w:rsid w:val="00EE54E5"/>
    <w:rsid w:val="00EE7245"/>
    <w:rsid w:val="00EE76BA"/>
    <w:rsid w:val="00EF123D"/>
    <w:rsid w:val="00EF3A3D"/>
    <w:rsid w:val="00EF6449"/>
    <w:rsid w:val="00EF65D2"/>
    <w:rsid w:val="00EF74DB"/>
    <w:rsid w:val="00EF753A"/>
    <w:rsid w:val="00EF7C0E"/>
    <w:rsid w:val="00F00CD6"/>
    <w:rsid w:val="00F014EE"/>
    <w:rsid w:val="00F014FF"/>
    <w:rsid w:val="00F019D7"/>
    <w:rsid w:val="00F01B0A"/>
    <w:rsid w:val="00F03CF5"/>
    <w:rsid w:val="00F05CA1"/>
    <w:rsid w:val="00F11882"/>
    <w:rsid w:val="00F12660"/>
    <w:rsid w:val="00F15305"/>
    <w:rsid w:val="00F16D94"/>
    <w:rsid w:val="00F16FE8"/>
    <w:rsid w:val="00F208B7"/>
    <w:rsid w:val="00F220A8"/>
    <w:rsid w:val="00F226CD"/>
    <w:rsid w:val="00F25399"/>
    <w:rsid w:val="00F258B7"/>
    <w:rsid w:val="00F2654D"/>
    <w:rsid w:val="00F30975"/>
    <w:rsid w:val="00F31477"/>
    <w:rsid w:val="00F31A09"/>
    <w:rsid w:val="00F327D5"/>
    <w:rsid w:val="00F376C7"/>
    <w:rsid w:val="00F37A81"/>
    <w:rsid w:val="00F37B72"/>
    <w:rsid w:val="00F408EA"/>
    <w:rsid w:val="00F414A9"/>
    <w:rsid w:val="00F4237F"/>
    <w:rsid w:val="00F439C3"/>
    <w:rsid w:val="00F45E89"/>
    <w:rsid w:val="00F46052"/>
    <w:rsid w:val="00F51B40"/>
    <w:rsid w:val="00F52003"/>
    <w:rsid w:val="00F5444C"/>
    <w:rsid w:val="00F55EC5"/>
    <w:rsid w:val="00F57091"/>
    <w:rsid w:val="00F57F5B"/>
    <w:rsid w:val="00F617B3"/>
    <w:rsid w:val="00F61B75"/>
    <w:rsid w:val="00F6525B"/>
    <w:rsid w:val="00F6528A"/>
    <w:rsid w:val="00F65F94"/>
    <w:rsid w:val="00F72241"/>
    <w:rsid w:val="00F77D0B"/>
    <w:rsid w:val="00F80C0D"/>
    <w:rsid w:val="00F81235"/>
    <w:rsid w:val="00F85B0F"/>
    <w:rsid w:val="00F86949"/>
    <w:rsid w:val="00F8750D"/>
    <w:rsid w:val="00F9156F"/>
    <w:rsid w:val="00F918CC"/>
    <w:rsid w:val="00F92089"/>
    <w:rsid w:val="00F92B6A"/>
    <w:rsid w:val="00F93489"/>
    <w:rsid w:val="00F95423"/>
    <w:rsid w:val="00F963BD"/>
    <w:rsid w:val="00F964FB"/>
    <w:rsid w:val="00F975F6"/>
    <w:rsid w:val="00FA0CED"/>
    <w:rsid w:val="00FA306E"/>
    <w:rsid w:val="00FA3C89"/>
    <w:rsid w:val="00FA43C0"/>
    <w:rsid w:val="00FB084E"/>
    <w:rsid w:val="00FB0B9D"/>
    <w:rsid w:val="00FB0D89"/>
    <w:rsid w:val="00FB13A3"/>
    <w:rsid w:val="00FB4212"/>
    <w:rsid w:val="00FB45A2"/>
    <w:rsid w:val="00FB5D68"/>
    <w:rsid w:val="00FB5DC3"/>
    <w:rsid w:val="00FB60D1"/>
    <w:rsid w:val="00FB70CB"/>
    <w:rsid w:val="00FC22FB"/>
    <w:rsid w:val="00FC2390"/>
    <w:rsid w:val="00FD19C4"/>
    <w:rsid w:val="00FD3843"/>
    <w:rsid w:val="00FD39C5"/>
    <w:rsid w:val="00FD4191"/>
    <w:rsid w:val="00FD4286"/>
    <w:rsid w:val="00FE053C"/>
    <w:rsid w:val="00FE40F4"/>
    <w:rsid w:val="00FE4CE6"/>
    <w:rsid w:val="00FE795F"/>
    <w:rsid w:val="00FF3082"/>
    <w:rsid w:val="00FF43C9"/>
    <w:rsid w:val="00FF6C3D"/>
    <w:rsid w:val="00FF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C7A073E-BEFD-4EB2-91E7-888085F6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13A"/>
    <w:rPr>
      <w:color w:val="000000"/>
    </w:rPr>
  </w:style>
  <w:style w:type="paragraph" w:styleId="Heading1">
    <w:name w:val="heading 1"/>
    <w:basedOn w:val="Normal"/>
    <w:next w:val="Normal"/>
    <w:link w:val="Heading1Char"/>
    <w:uiPriority w:val="9"/>
    <w:qFormat/>
    <w:rsid w:val="00701859"/>
    <w:pPr>
      <w:keepNext/>
      <w:outlineLvl w:val="0"/>
    </w:pPr>
    <w:rPr>
      <w:rFonts w:eastAsia="Times New Roman" w:cs="Times New Roman"/>
      <w:b/>
      <w:color w:val="auto"/>
    </w:rPr>
  </w:style>
  <w:style w:type="paragraph" w:styleId="Heading2">
    <w:name w:val="heading 2"/>
    <w:basedOn w:val="Normal"/>
    <w:next w:val="Normal"/>
    <w:link w:val="Heading2Char"/>
    <w:uiPriority w:val="9"/>
    <w:qFormat/>
    <w:rsid w:val="00495268"/>
    <w:pPr>
      <w:keepNext/>
      <w:spacing w:before="240" w:after="60"/>
      <w:outlineLvl w:val="1"/>
    </w:pPr>
    <w:rPr>
      <w:rFonts w:eastAsia="Times New Roman"/>
      <w:b/>
      <w:bCs/>
      <w:iCs/>
      <w:color w:val="auto"/>
      <w:szCs w:val="28"/>
    </w:rPr>
  </w:style>
  <w:style w:type="paragraph" w:styleId="Heading3">
    <w:name w:val="heading 3"/>
    <w:basedOn w:val="Normal"/>
    <w:next w:val="Normal"/>
    <w:link w:val="Heading3Char"/>
    <w:qFormat/>
    <w:rsid w:val="000C421D"/>
    <w:pPr>
      <w:keepNext/>
      <w:spacing w:before="240" w:after="60"/>
      <w:outlineLvl w:val="2"/>
    </w:pPr>
    <w:rPr>
      <w:rFonts w:eastAsia="Times New Roman"/>
      <w:b/>
      <w:bCs/>
      <w:color w:val="auto"/>
      <w:szCs w:val="26"/>
    </w:rPr>
  </w:style>
  <w:style w:type="paragraph" w:styleId="Heading4">
    <w:name w:val="heading 4"/>
    <w:basedOn w:val="Normal"/>
    <w:next w:val="Normal"/>
    <w:link w:val="Heading4Char"/>
    <w:qFormat/>
    <w:rsid w:val="00495268"/>
    <w:pPr>
      <w:keepNext/>
      <w:ind w:right="-630"/>
      <w:outlineLvl w:val="3"/>
    </w:pPr>
    <w:rPr>
      <w:rFonts w:eastAsia="Times New Roman"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01859"/>
    <w:rPr>
      <w:rFonts w:eastAsia="Times New Roman" w:cs="Times New Roman"/>
      <w:b/>
    </w:rPr>
  </w:style>
  <w:style w:type="character" w:customStyle="1" w:styleId="Heading2Char">
    <w:name w:val="Heading 2 Char"/>
    <w:link w:val="Heading2"/>
    <w:uiPriority w:val="9"/>
    <w:rsid w:val="00495268"/>
    <w:rPr>
      <w:rFonts w:eastAsia="Times New Roman"/>
      <w:b/>
      <w:bCs/>
      <w:iCs/>
      <w:szCs w:val="28"/>
    </w:rPr>
  </w:style>
  <w:style w:type="character" w:customStyle="1" w:styleId="Heading3Char">
    <w:name w:val="Heading 3 Char"/>
    <w:link w:val="Heading3"/>
    <w:rsid w:val="000C421D"/>
    <w:rPr>
      <w:rFonts w:eastAsia="Times New Roman"/>
      <w:b/>
      <w:bCs/>
      <w:szCs w:val="26"/>
    </w:rPr>
  </w:style>
  <w:style w:type="character" w:customStyle="1" w:styleId="Heading4Char">
    <w:name w:val="Heading 4 Char"/>
    <w:link w:val="Heading4"/>
    <w:rsid w:val="00495268"/>
    <w:rPr>
      <w:rFonts w:eastAsia="Times New Roman" w:cs="Times New Roman"/>
    </w:rPr>
  </w:style>
  <w:style w:type="paragraph" w:styleId="FootnoteText">
    <w:name w:val="footnote text"/>
    <w:basedOn w:val="Normal"/>
    <w:link w:val="FootnoteTextChar"/>
    <w:uiPriority w:val="99"/>
    <w:unhideWhenUsed/>
    <w:rsid w:val="00BE759B"/>
  </w:style>
  <w:style w:type="character" w:customStyle="1" w:styleId="FootnoteTextChar">
    <w:name w:val="Footnote Text Char"/>
    <w:link w:val="FootnoteText"/>
    <w:uiPriority w:val="99"/>
    <w:rsid w:val="00BE759B"/>
    <w:rPr>
      <w:color w:val="000000"/>
    </w:rPr>
  </w:style>
  <w:style w:type="character" w:styleId="FootnoteReference">
    <w:name w:val="footnote reference"/>
    <w:uiPriority w:val="99"/>
    <w:rsid w:val="00BE759B"/>
    <w:rPr>
      <w:vertAlign w:val="superscript"/>
    </w:rPr>
  </w:style>
  <w:style w:type="paragraph" w:styleId="Header">
    <w:name w:val="header"/>
    <w:basedOn w:val="Normal"/>
    <w:link w:val="HeaderChar"/>
    <w:unhideWhenUsed/>
    <w:rsid w:val="008D1F18"/>
    <w:pPr>
      <w:tabs>
        <w:tab w:val="center" w:pos="4680"/>
        <w:tab w:val="right" w:pos="9360"/>
      </w:tabs>
    </w:pPr>
  </w:style>
  <w:style w:type="character" w:customStyle="1" w:styleId="HeaderChar">
    <w:name w:val="Header Char"/>
    <w:link w:val="Header"/>
    <w:uiPriority w:val="99"/>
    <w:rsid w:val="008D1F18"/>
    <w:rPr>
      <w:color w:val="000000"/>
    </w:rPr>
  </w:style>
  <w:style w:type="paragraph" w:styleId="Footer">
    <w:name w:val="footer"/>
    <w:basedOn w:val="Normal"/>
    <w:link w:val="FooterChar"/>
    <w:uiPriority w:val="99"/>
    <w:unhideWhenUsed/>
    <w:rsid w:val="008D1F18"/>
    <w:pPr>
      <w:tabs>
        <w:tab w:val="center" w:pos="4680"/>
        <w:tab w:val="right" w:pos="9360"/>
      </w:tabs>
    </w:pPr>
  </w:style>
  <w:style w:type="character" w:customStyle="1" w:styleId="FooterChar">
    <w:name w:val="Footer Char"/>
    <w:link w:val="Footer"/>
    <w:uiPriority w:val="99"/>
    <w:rsid w:val="008D1F18"/>
    <w:rPr>
      <w:color w:val="000000"/>
    </w:rPr>
  </w:style>
  <w:style w:type="paragraph" w:styleId="ListParagraph">
    <w:name w:val="List Paragraph"/>
    <w:basedOn w:val="Normal"/>
    <w:uiPriority w:val="34"/>
    <w:qFormat/>
    <w:rsid w:val="004C172C"/>
    <w:pPr>
      <w:ind w:left="720"/>
      <w:contextualSpacing/>
    </w:pPr>
  </w:style>
  <w:style w:type="paragraph" w:styleId="BodyTextIndent">
    <w:name w:val="Body Text Indent"/>
    <w:basedOn w:val="Normal"/>
    <w:link w:val="BodyTextIndentChar"/>
    <w:rsid w:val="002573F8"/>
    <w:pPr>
      <w:tabs>
        <w:tab w:val="left" w:pos="-720"/>
        <w:tab w:val="left" w:pos="0"/>
        <w:tab w:val="left" w:pos="720"/>
      </w:tabs>
      <w:suppressAutoHyphens/>
      <w:ind w:left="720"/>
    </w:pPr>
    <w:rPr>
      <w:rFonts w:eastAsia="Times New Roman" w:cs="Times New Roman"/>
      <w:color w:val="auto"/>
      <w:sz w:val="22"/>
    </w:rPr>
  </w:style>
  <w:style w:type="character" w:customStyle="1" w:styleId="BodyTextIndentChar">
    <w:name w:val="Body Text Indent Char"/>
    <w:basedOn w:val="DefaultParagraphFont"/>
    <w:link w:val="BodyTextIndent"/>
    <w:rsid w:val="002573F8"/>
    <w:rPr>
      <w:rFonts w:eastAsia="Times New Roman" w:cs="Times New Roman"/>
      <w:sz w:val="22"/>
    </w:rPr>
  </w:style>
  <w:style w:type="paragraph" w:styleId="BodyTextIndent2">
    <w:name w:val="Body Text Indent 2"/>
    <w:basedOn w:val="Normal"/>
    <w:link w:val="BodyTextIndent2Char"/>
    <w:rsid w:val="002573F8"/>
    <w:pPr>
      <w:tabs>
        <w:tab w:val="left" w:pos="-1440"/>
      </w:tabs>
      <w:ind w:left="1440" w:hanging="720"/>
    </w:pPr>
    <w:rPr>
      <w:rFonts w:eastAsia="Times New Roman" w:cs="Times New Roman"/>
      <w:color w:val="auto"/>
    </w:rPr>
  </w:style>
  <w:style w:type="character" w:customStyle="1" w:styleId="BodyTextIndent2Char">
    <w:name w:val="Body Text Indent 2 Char"/>
    <w:basedOn w:val="DefaultParagraphFont"/>
    <w:link w:val="BodyTextIndent2"/>
    <w:rsid w:val="002573F8"/>
    <w:rPr>
      <w:rFonts w:eastAsia="Times New Roman" w:cs="Times New Roman"/>
    </w:rPr>
  </w:style>
  <w:style w:type="paragraph" w:styleId="BodyTextIndent3">
    <w:name w:val="Body Text Indent 3"/>
    <w:basedOn w:val="Normal"/>
    <w:link w:val="BodyTextIndent3Char"/>
    <w:rsid w:val="002573F8"/>
    <w:pPr>
      <w:tabs>
        <w:tab w:val="left" w:pos="-1080"/>
        <w:tab w:val="left" w:pos="-720"/>
        <w:tab w:val="left" w:pos="0"/>
        <w:tab w:val="left" w:pos="720"/>
        <w:tab w:val="left" w:pos="1440"/>
        <w:tab w:val="left" w:pos="2160"/>
        <w:tab w:val="left" w:pos="2520"/>
        <w:tab w:val="left" w:pos="3600"/>
      </w:tabs>
      <w:ind w:left="2160" w:hanging="720"/>
    </w:pPr>
    <w:rPr>
      <w:rFonts w:eastAsia="Times New Roman" w:cs="Times New Roman"/>
      <w:color w:val="auto"/>
      <w:u w:val="single"/>
    </w:rPr>
  </w:style>
  <w:style w:type="character" w:customStyle="1" w:styleId="BodyTextIndent3Char">
    <w:name w:val="Body Text Indent 3 Char"/>
    <w:basedOn w:val="DefaultParagraphFont"/>
    <w:link w:val="BodyTextIndent3"/>
    <w:rsid w:val="002573F8"/>
    <w:rPr>
      <w:rFonts w:eastAsia="Times New Roman" w:cs="Times New Roman"/>
      <w:u w:val="single"/>
    </w:rPr>
  </w:style>
  <w:style w:type="paragraph" w:styleId="BalloonText">
    <w:name w:val="Balloon Text"/>
    <w:basedOn w:val="Normal"/>
    <w:link w:val="BalloonTextChar"/>
    <w:rsid w:val="002573F8"/>
    <w:rPr>
      <w:rFonts w:ascii="Segoe UI" w:eastAsia="Times New Roman" w:hAnsi="Segoe UI" w:cs="Segoe UI"/>
      <w:color w:val="auto"/>
      <w:sz w:val="18"/>
      <w:szCs w:val="18"/>
    </w:rPr>
  </w:style>
  <w:style w:type="character" w:customStyle="1" w:styleId="BalloonTextChar">
    <w:name w:val="Balloon Text Char"/>
    <w:basedOn w:val="DefaultParagraphFont"/>
    <w:link w:val="BalloonText"/>
    <w:uiPriority w:val="99"/>
    <w:rsid w:val="002573F8"/>
    <w:rPr>
      <w:rFonts w:ascii="Segoe UI" w:eastAsia="Times New Roman" w:hAnsi="Segoe UI" w:cs="Segoe UI"/>
      <w:sz w:val="18"/>
      <w:szCs w:val="18"/>
    </w:rPr>
  </w:style>
  <w:style w:type="paragraph" w:styleId="Revision">
    <w:name w:val="Revision"/>
    <w:hidden/>
    <w:uiPriority w:val="99"/>
    <w:semiHidden/>
    <w:rsid w:val="002573F8"/>
    <w:rPr>
      <w:rFonts w:eastAsia="Times New Roman" w:cs="Times New Roman"/>
    </w:rPr>
  </w:style>
  <w:style w:type="character" w:styleId="Hyperlink">
    <w:name w:val="Hyperlink"/>
    <w:basedOn w:val="DefaultParagraphFont"/>
    <w:uiPriority w:val="99"/>
    <w:unhideWhenUsed/>
    <w:rsid w:val="002573F8"/>
    <w:rPr>
      <w:color w:val="0000FF"/>
      <w:u w:val="single"/>
    </w:rPr>
  </w:style>
  <w:style w:type="paragraph" w:customStyle="1" w:styleId="Default">
    <w:name w:val="Default"/>
    <w:rsid w:val="002573F8"/>
    <w:pPr>
      <w:widowControl w:val="0"/>
      <w:autoSpaceDE w:val="0"/>
      <w:autoSpaceDN w:val="0"/>
      <w:adjustRightInd w:val="0"/>
    </w:pPr>
    <w:rPr>
      <w:rFonts w:ascii="JEJEIA+TimesNewRoman" w:eastAsia="Times New Roman" w:hAnsi="JEJEIA+TimesNewRoman" w:cs="JEJEIA+TimesNewRoman"/>
      <w:color w:val="000000"/>
      <w:sz w:val="24"/>
      <w:szCs w:val="24"/>
    </w:rPr>
  </w:style>
  <w:style w:type="character" w:customStyle="1" w:styleId="CommentTextChar">
    <w:name w:val="Comment Text Char"/>
    <w:basedOn w:val="DefaultParagraphFont"/>
    <w:link w:val="CommentText"/>
    <w:uiPriority w:val="99"/>
    <w:rsid w:val="00CD3657"/>
    <w:rPr>
      <w:rFonts w:eastAsia="Times New Roman" w:cs="Times New Roman"/>
    </w:rPr>
  </w:style>
  <w:style w:type="paragraph" w:styleId="CommentText">
    <w:name w:val="annotation text"/>
    <w:basedOn w:val="Normal"/>
    <w:link w:val="CommentTextChar"/>
    <w:uiPriority w:val="99"/>
    <w:unhideWhenUsed/>
    <w:rsid w:val="00CD3657"/>
    <w:rPr>
      <w:rFonts w:eastAsia="Times New Roman" w:cs="Times New Roman"/>
      <w:color w:val="auto"/>
    </w:rPr>
  </w:style>
  <w:style w:type="character" w:styleId="CommentReference">
    <w:name w:val="annotation reference"/>
    <w:basedOn w:val="DefaultParagraphFont"/>
    <w:uiPriority w:val="99"/>
    <w:rsid w:val="00BF6021"/>
    <w:rPr>
      <w:sz w:val="16"/>
      <w:szCs w:val="16"/>
    </w:rPr>
  </w:style>
  <w:style w:type="paragraph" w:styleId="CommentSubject">
    <w:name w:val="annotation subject"/>
    <w:basedOn w:val="CommentText"/>
    <w:next w:val="CommentText"/>
    <w:link w:val="CommentSubjectChar"/>
    <w:rsid w:val="00BF6021"/>
    <w:rPr>
      <w:b/>
      <w:bCs/>
    </w:rPr>
  </w:style>
  <w:style w:type="character" w:customStyle="1" w:styleId="CommentSubjectChar">
    <w:name w:val="Comment Subject Char"/>
    <w:basedOn w:val="CommentTextChar"/>
    <w:link w:val="CommentSubject"/>
    <w:rsid w:val="00BF6021"/>
    <w:rPr>
      <w:rFonts w:eastAsia="Times New Roman" w:cs="Times New Roman"/>
      <w:b/>
      <w:bCs/>
    </w:rPr>
  </w:style>
  <w:style w:type="character" w:styleId="FollowedHyperlink">
    <w:name w:val="FollowedHyperlink"/>
    <w:basedOn w:val="DefaultParagraphFont"/>
    <w:uiPriority w:val="99"/>
    <w:semiHidden/>
    <w:unhideWhenUsed/>
    <w:rsid w:val="00B672AE"/>
    <w:rPr>
      <w:color w:val="954F72" w:themeColor="followedHyperlink"/>
      <w:u w:val="single"/>
    </w:rPr>
  </w:style>
  <w:style w:type="table" w:styleId="TableGrid">
    <w:name w:val="Table Grid"/>
    <w:basedOn w:val="TableNormal"/>
    <w:uiPriority w:val="59"/>
    <w:rsid w:val="00DC15F2"/>
    <w:rPr>
      <w:rFonts w:eastAsiaTheme="minorHAns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05607"/>
    <w:pPr>
      <w:tabs>
        <w:tab w:val="left" w:pos="-720"/>
      </w:tabs>
    </w:pPr>
    <w:rPr>
      <w:rFonts w:eastAsia="Times New Roman" w:cs="Times New Roman"/>
      <w:color w:val="auto"/>
    </w:rPr>
  </w:style>
  <w:style w:type="character" w:customStyle="1" w:styleId="BodyTextChar">
    <w:name w:val="Body Text Char"/>
    <w:basedOn w:val="DefaultParagraphFont"/>
    <w:link w:val="BodyText"/>
    <w:rsid w:val="00C05607"/>
    <w:rPr>
      <w:rFonts w:eastAsia="Times New Roman" w:cs="Times New Roman"/>
    </w:rPr>
  </w:style>
  <w:style w:type="paragraph" w:styleId="HTMLPreformatted">
    <w:name w:val="HTML Preformatted"/>
    <w:basedOn w:val="Normal"/>
    <w:link w:val="HTMLPreformattedChar"/>
    <w:rsid w:val="00C05607"/>
    <w:rPr>
      <w:rFonts w:ascii="Courier New" w:eastAsia="Times New Roman" w:hAnsi="Courier New" w:cs="Courier New"/>
      <w:color w:val="auto"/>
    </w:rPr>
  </w:style>
  <w:style w:type="character" w:customStyle="1" w:styleId="HTMLPreformattedChar">
    <w:name w:val="HTML Preformatted Char"/>
    <w:basedOn w:val="DefaultParagraphFont"/>
    <w:link w:val="HTMLPreformatted"/>
    <w:rsid w:val="00C05607"/>
    <w:rPr>
      <w:rFonts w:ascii="Courier New" w:eastAsia="Times New Roman" w:hAnsi="Courier New" w:cs="Courier New"/>
    </w:rPr>
  </w:style>
  <w:style w:type="character" w:styleId="PageNumber">
    <w:name w:val="page number"/>
    <w:rsid w:val="00C05607"/>
  </w:style>
  <w:style w:type="paragraph" w:styleId="TOAHeading">
    <w:name w:val="toa heading"/>
    <w:basedOn w:val="Normal"/>
    <w:next w:val="Normal"/>
    <w:uiPriority w:val="99"/>
    <w:semiHidden/>
    <w:unhideWhenUsed/>
    <w:rsid w:val="0069712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2367">
      <w:bodyDiv w:val="1"/>
      <w:marLeft w:val="0"/>
      <w:marRight w:val="0"/>
      <w:marTop w:val="0"/>
      <w:marBottom w:val="0"/>
      <w:divBdr>
        <w:top w:val="none" w:sz="0" w:space="0" w:color="auto"/>
        <w:left w:val="none" w:sz="0" w:space="0" w:color="auto"/>
        <w:bottom w:val="none" w:sz="0" w:space="0" w:color="auto"/>
        <w:right w:val="none" w:sz="0" w:space="0" w:color="auto"/>
      </w:divBdr>
    </w:div>
    <w:div w:id="18702891">
      <w:bodyDiv w:val="1"/>
      <w:marLeft w:val="0"/>
      <w:marRight w:val="0"/>
      <w:marTop w:val="0"/>
      <w:marBottom w:val="0"/>
      <w:divBdr>
        <w:top w:val="none" w:sz="0" w:space="0" w:color="auto"/>
        <w:left w:val="none" w:sz="0" w:space="0" w:color="auto"/>
        <w:bottom w:val="none" w:sz="0" w:space="0" w:color="auto"/>
        <w:right w:val="none" w:sz="0" w:space="0" w:color="auto"/>
      </w:divBdr>
    </w:div>
    <w:div w:id="1576235789">
      <w:bodyDiv w:val="1"/>
      <w:marLeft w:val="0"/>
      <w:marRight w:val="0"/>
      <w:marTop w:val="0"/>
      <w:marBottom w:val="0"/>
      <w:divBdr>
        <w:top w:val="none" w:sz="0" w:space="0" w:color="auto"/>
        <w:left w:val="none" w:sz="0" w:space="0" w:color="auto"/>
        <w:bottom w:val="none" w:sz="0" w:space="0" w:color="auto"/>
        <w:right w:val="none" w:sz="0" w:space="0" w:color="auto"/>
      </w:divBdr>
    </w:div>
    <w:div w:id="179378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A206FBCC660045A30B35E8FCABC4C1" ma:contentTypeVersion="0" ma:contentTypeDescription="Create a new document." ma:contentTypeScope="" ma:versionID="66124b25b3ca6838e3d031751735f2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6BD0-2D34-41C4-B331-7744B19C4B2E}">
  <ds:schemaRefs>
    <ds:schemaRef ds:uri="http://schemas.microsoft.com/sharepoint/v3/contenttype/forms"/>
  </ds:schemaRefs>
</ds:datastoreItem>
</file>

<file path=customXml/itemProps2.xml><?xml version="1.0" encoding="utf-8"?>
<ds:datastoreItem xmlns:ds="http://schemas.openxmlformats.org/officeDocument/2006/customXml" ds:itemID="{1AA2F40A-36EC-4A06-B4CE-71EA1EEC3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C509CA2-AB83-4BE5-B001-9B57D4E07D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5D496D-EE41-47FB-B9A5-8D9842A2B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2097</Words>
  <Characters>11955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Rule 204</vt:lpstr>
    </vt:vector>
  </TitlesOfParts>
  <Company>sbcapcd</Company>
  <LinksUpToDate>false</LinksUpToDate>
  <CharactersWithSpaces>14024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204</dc:title>
  <dc:subject/>
  <dc:creator>Michael Goldman - SBCAPCD</dc:creator>
  <cp:keywords/>
  <dc:description/>
  <cp:lastModifiedBy>Timothy J. Mitro</cp:lastModifiedBy>
  <cp:revision>23</cp:revision>
  <cp:lastPrinted>2014-07-24T19:43:00Z</cp:lastPrinted>
  <dcterms:created xsi:type="dcterms:W3CDTF">2015-01-07T19:12:00Z</dcterms:created>
  <dcterms:modified xsi:type="dcterms:W3CDTF">2016-07-18T17:45:00Z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0x01010045A206FBCC660045A30B35E8FCABC4C1</vt:lpwstr>
  </property>
</Properties>
</file>